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FF" w:rsidRPr="000C40D3" w:rsidRDefault="00A923A8" w:rsidP="00CA34F0">
      <w:pPr>
        <w:pBdr>
          <w:top w:val="single" w:sz="4" w:space="1" w:color="auto"/>
          <w:left w:val="single" w:sz="4" w:space="4" w:color="auto"/>
          <w:bottom w:val="single" w:sz="4" w:space="1" w:color="auto"/>
          <w:right w:val="single" w:sz="4" w:space="4" w:color="auto"/>
        </w:pBdr>
        <w:jc w:val="center"/>
        <w:rPr>
          <w:b/>
          <w:sz w:val="28"/>
          <w:szCs w:val="28"/>
        </w:rPr>
      </w:pPr>
      <w:r w:rsidRPr="000C40D3">
        <w:rPr>
          <w:b/>
          <w:sz w:val="28"/>
          <w:szCs w:val="28"/>
        </w:rPr>
        <w:t>EIOPA</w:t>
      </w:r>
      <w:r w:rsidR="00476CC2" w:rsidRPr="000C40D3">
        <w:rPr>
          <w:b/>
          <w:sz w:val="28"/>
          <w:szCs w:val="28"/>
        </w:rPr>
        <w:t xml:space="preserve"> Annual Conference, 18 November 2015</w:t>
      </w:r>
    </w:p>
    <w:p w:rsidR="00476CC2" w:rsidRPr="000C40D3" w:rsidRDefault="00476CC2" w:rsidP="00CA34F0">
      <w:pPr>
        <w:pBdr>
          <w:top w:val="single" w:sz="4" w:space="1" w:color="auto"/>
          <w:left w:val="single" w:sz="4" w:space="4" w:color="auto"/>
          <w:bottom w:val="single" w:sz="4" w:space="1" w:color="auto"/>
          <w:right w:val="single" w:sz="4" w:space="4" w:color="auto"/>
        </w:pBdr>
        <w:jc w:val="center"/>
        <w:rPr>
          <w:b/>
          <w:sz w:val="28"/>
          <w:szCs w:val="28"/>
        </w:rPr>
      </w:pPr>
      <w:r w:rsidRPr="000C40D3">
        <w:rPr>
          <w:b/>
          <w:sz w:val="28"/>
          <w:szCs w:val="28"/>
        </w:rPr>
        <w:t>Speech by Olivier Guersent</w:t>
      </w:r>
    </w:p>
    <w:p w:rsidR="00476CC2" w:rsidRPr="000C40D3" w:rsidRDefault="005A4035" w:rsidP="00CA34F0">
      <w:pPr>
        <w:pBdr>
          <w:top w:val="single" w:sz="4" w:space="1" w:color="auto"/>
          <w:left w:val="single" w:sz="4" w:space="4" w:color="auto"/>
          <w:bottom w:val="single" w:sz="4" w:space="1" w:color="auto"/>
          <w:right w:val="single" w:sz="4" w:space="4" w:color="auto"/>
        </w:pBdr>
        <w:jc w:val="center"/>
        <w:rPr>
          <w:b/>
          <w:sz w:val="28"/>
          <w:szCs w:val="28"/>
        </w:rPr>
      </w:pPr>
      <w:r w:rsidRPr="000C40D3">
        <w:rPr>
          <w:b/>
          <w:sz w:val="28"/>
          <w:szCs w:val="28"/>
        </w:rPr>
        <w:t>DRAFT</w:t>
      </w:r>
    </w:p>
    <w:p w:rsidR="000C626D" w:rsidRPr="000C40D3" w:rsidRDefault="000C626D" w:rsidP="00CA34F0">
      <w:pPr>
        <w:jc w:val="both"/>
        <w:rPr>
          <w:sz w:val="28"/>
          <w:szCs w:val="28"/>
          <w:u w:val="single"/>
        </w:rPr>
      </w:pPr>
      <w:r w:rsidRPr="000C40D3">
        <w:rPr>
          <w:sz w:val="28"/>
          <w:szCs w:val="28"/>
          <w:u w:val="single"/>
        </w:rPr>
        <w:t>Intro</w:t>
      </w:r>
      <w:r w:rsidR="005A4035" w:rsidRPr="000C40D3">
        <w:rPr>
          <w:sz w:val="28"/>
          <w:szCs w:val="28"/>
          <w:u w:val="single"/>
        </w:rPr>
        <w:t>duction</w:t>
      </w:r>
    </w:p>
    <w:p w:rsidR="00146271" w:rsidRPr="000C40D3" w:rsidRDefault="005A4035" w:rsidP="005A4035">
      <w:pPr>
        <w:jc w:val="both"/>
        <w:rPr>
          <w:sz w:val="28"/>
          <w:szCs w:val="28"/>
        </w:rPr>
      </w:pPr>
      <w:r w:rsidRPr="000C40D3">
        <w:rPr>
          <w:sz w:val="28"/>
          <w:szCs w:val="28"/>
        </w:rPr>
        <w:t>I am very h</w:t>
      </w:r>
      <w:r w:rsidR="00146271" w:rsidRPr="000C40D3">
        <w:rPr>
          <w:sz w:val="28"/>
          <w:szCs w:val="28"/>
        </w:rPr>
        <w:t xml:space="preserve">appy to be here for the fifth annual conference of EIOPA. </w:t>
      </w:r>
      <w:r w:rsidRPr="000C40D3">
        <w:rPr>
          <w:sz w:val="28"/>
          <w:szCs w:val="28"/>
        </w:rPr>
        <w:t>I c</w:t>
      </w:r>
      <w:r w:rsidR="00146271" w:rsidRPr="000C40D3">
        <w:rPr>
          <w:sz w:val="28"/>
          <w:szCs w:val="28"/>
        </w:rPr>
        <w:t>ongratulat</w:t>
      </w:r>
      <w:r w:rsidRPr="000C40D3">
        <w:rPr>
          <w:sz w:val="28"/>
          <w:szCs w:val="28"/>
        </w:rPr>
        <w:t>e</w:t>
      </w:r>
      <w:r w:rsidR="00146271" w:rsidRPr="000C40D3">
        <w:rPr>
          <w:sz w:val="28"/>
          <w:szCs w:val="28"/>
        </w:rPr>
        <w:t xml:space="preserve"> EIOPA for </w:t>
      </w:r>
      <w:r w:rsidRPr="000C40D3">
        <w:rPr>
          <w:sz w:val="28"/>
          <w:szCs w:val="28"/>
        </w:rPr>
        <w:t>i</w:t>
      </w:r>
      <w:bookmarkStart w:id="0" w:name="_GoBack"/>
      <w:bookmarkEnd w:id="0"/>
      <w:r w:rsidRPr="000C40D3">
        <w:rPr>
          <w:sz w:val="28"/>
          <w:szCs w:val="28"/>
        </w:rPr>
        <w:t xml:space="preserve">ts </w:t>
      </w:r>
      <w:r w:rsidR="00146271" w:rsidRPr="000C40D3">
        <w:rPr>
          <w:sz w:val="28"/>
          <w:szCs w:val="28"/>
        </w:rPr>
        <w:t xml:space="preserve">many achievements in a </w:t>
      </w:r>
      <w:r w:rsidRPr="000C40D3">
        <w:rPr>
          <w:sz w:val="28"/>
          <w:szCs w:val="28"/>
        </w:rPr>
        <w:t xml:space="preserve">relatively </w:t>
      </w:r>
      <w:r w:rsidR="00146271" w:rsidRPr="000C40D3">
        <w:rPr>
          <w:sz w:val="28"/>
          <w:szCs w:val="28"/>
        </w:rPr>
        <w:t>short time.</w:t>
      </w:r>
    </w:p>
    <w:p w:rsidR="000C626D" w:rsidRPr="000C40D3" w:rsidRDefault="00476CC2" w:rsidP="005A4035">
      <w:pPr>
        <w:jc w:val="both"/>
        <w:rPr>
          <w:sz w:val="28"/>
          <w:szCs w:val="28"/>
        </w:rPr>
      </w:pPr>
      <w:r w:rsidRPr="000C40D3">
        <w:rPr>
          <w:sz w:val="28"/>
          <w:szCs w:val="28"/>
        </w:rPr>
        <w:t>These are c</w:t>
      </w:r>
      <w:r w:rsidR="000C626D" w:rsidRPr="000C40D3">
        <w:rPr>
          <w:sz w:val="28"/>
          <w:szCs w:val="28"/>
        </w:rPr>
        <w:t>hallenging times – global instability, climate change, economic recession</w:t>
      </w:r>
      <w:r w:rsidRPr="000C40D3">
        <w:rPr>
          <w:sz w:val="28"/>
          <w:szCs w:val="28"/>
        </w:rPr>
        <w:t>. But it is in challenging times that the insurance sector shows its added value.</w:t>
      </w:r>
    </w:p>
    <w:p w:rsidR="000C626D" w:rsidRPr="000C40D3" w:rsidRDefault="005A4035" w:rsidP="005A4035">
      <w:pPr>
        <w:jc w:val="both"/>
        <w:rPr>
          <w:sz w:val="28"/>
          <w:szCs w:val="28"/>
        </w:rPr>
      </w:pPr>
      <w:r w:rsidRPr="000C40D3">
        <w:rPr>
          <w:sz w:val="28"/>
          <w:szCs w:val="28"/>
        </w:rPr>
        <w:t>The i</w:t>
      </w:r>
      <w:r w:rsidR="000C626D" w:rsidRPr="000C40D3">
        <w:rPr>
          <w:sz w:val="28"/>
          <w:szCs w:val="28"/>
        </w:rPr>
        <w:t xml:space="preserve">nsurance </w:t>
      </w:r>
      <w:r w:rsidRPr="000C40D3">
        <w:rPr>
          <w:sz w:val="28"/>
          <w:szCs w:val="28"/>
        </w:rPr>
        <w:t xml:space="preserve">and reinsurance sector has almost </w:t>
      </w:r>
      <w:r w:rsidR="000C626D" w:rsidRPr="000C40D3">
        <w:rPr>
          <w:sz w:val="28"/>
          <w:szCs w:val="28"/>
        </w:rPr>
        <w:t xml:space="preserve">10 trillion </w:t>
      </w:r>
      <w:r w:rsidRPr="000C40D3">
        <w:rPr>
          <w:sz w:val="28"/>
          <w:szCs w:val="28"/>
        </w:rPr>
        <w:t xml:space="preserve">euros </w:t>
      </w:r>
      <w:r w:rsidR="000C626D" w:rsidRPr="000C40D3">
        <w:rPr>
          <w:sz w:val="28"/>
          <w:szCs w:val="28"/>
        </w:rPr>
        <w:t>of assets</w:t>
      </w:r>
      <w:r w:rsidRPr="000C40D3">
        <w:rPr>
          <w:sz w:val="28"/>
          <w:szCs w:val="28"/>
        </w:rPr>
        <w:t>. It thus has</w:t>
      </w:r>
      <w:r w:rsidR="000C626D" w:rsidRPr="000C40D3">
        <w:rPr>
          <w:sz w:val="28"/>
          <w:szCs w:val="28"/>
        </w:rPr>
        <w:t xml:space="preserve"> </w:t>
      </w:r>
      <w:r w:rsidR="00C47485" w:rsidRPr="000C40D3">
        <w:rPr>
          <w:sz w:val="28"/>
          <w:szCs w:val="28"/>
        </w:rPr>
        <w:t xml:space="preserve">great </w:t>
      </w:r>
      <w:r w:rsidR="000C626D" w:rsidRPr="000C40D3">
        <w:rPr>
          <w:sz w:val="28"/>
          <w:szCs w:val="28"/>
        </w:rPr>
        <w:t>potential to contribute to growth</w:t>
      </w:r>
      <w:r w:rsidR="00476CC2" w:rsidRPr="000C40D3">
        <w:rPr>
          <w:sz w:val="28"/>
          <w:szCs w:val="28"/>
        </w:rPr>
        <w:t>, which is our absolute priority</w:t>
      </w:r>
      <w:r w:rsidR="000C626D" w:rsidRPr="000C40D3">
        <w:rPr>
          <w:sz w:val="28"/>
          <w:szCs w:val="28"/>
        </w:rPr>
        <w:t>.</w:t>
      </w:r>
      <w:r w:rsidR="009705FA" w:rsidRPr="000C40D3">
        <w:rPr>
          <w:sz w:val="28"/>
          <w:szCs w:val="28"/>
        </w:rPr>
        <w:t xml:space="preserve"> Insurers must take up this responsibility</w:t>
      </w:r>
      <w:r w:rsidR="00146271" w:rsidRPr="000C40D3">
        <w:rPr>
          <w:sz w:val="28"/>
          <w:szCs w:val="28"/>
        </w:rPr>
        <w:t xml:space="preserve">, and regulators </w:t>
      </w:r>
      <w:r w:rsidRPr="000C40D3">
        <w:rPr>
          <w:sz w:val="28"/>
          <w:szCs w:val="28"/>
        </w:rPr>
        <w:t xml:space="preserve">and supervisors </w:t>
      </w:r>
      <w:r w:rsidR="00146271" w:rsidRPr="000C40D3">
        <w:rPr>
          <w:sz w:val="28"/>
          <w:szCs w:val="28"/>
        </w:rPr>
        <w:t>must help them to do so</w:t>
      </w:r>
      <w:r w:rsidR="009705FA" w:rsidRPr="000C40D3">
        <w:rPr>
          <w:sz w:val="28"/>
          <w:szCs w:val="28"/>
        </w:rPr>
        <w:t>.</w:t>
      </w:r>
    </w:p>
    <w:p w:rsidR="000C626D" w:rsidRPr="000C40D3" w:rsidRDefault="00C47485" w:rsidP="005A4035">
      <w:pPr>
        <w:jc w:val="both"/>
        <w:rPr>
          <w:sz w:val="28"/>
          <w:szCs w:val="28"/>
        </w:rPr>
      </w:pPr>
      <w:r w:rsidRPr="000C40D3">
        <w:rPr>
          <w:sz w:val="28"/>
          <w:szCs w:val="28"/>
        </w:rPr>
        <w:t>In this</w:t>
      </w:r>
      <w:r w:rsidR="000C626D" w:rsidRPr="000C40D3">
        <w:rPr>
          <w:sz w:val="28"/>
          <w:szCs w:val="28"/>
        </w:rPr>
        <w:t xml:space="preserve"> low interest</w:t>
      </w:r>
      <w:r w:rsidRPr="000C40D3">
        <w:rPr>
          <w:sz w:val="28"/>
          <w:szCs w:val="28"/>
        </w:rPr>
        <w:t>-</w:t>
      </w:r>
      <w:r w:rsidR="000C626D" w:rsidRPr="000C40D3">
        <w:rPr>
          <w:sz w:val="28"/>
          <w:szCs w:val="28"/>
        </w:rPr>
        <w:t>rate</w:t>
      </w:r>
      <w:r w:rsidRPr="000C40D3">
        <w:rPr>
          <w:sz w:val="28"/>
          <w:szCs w:val="28"/>
        </w:rPr>
        <w:t xml:space="preserve"> environment</w:t>
      </w:r>
      <w:r w:rsidR="000C626D" w:rsidRPr="000C40D3">
        <w:rPr>
          <w:sz w:val="28"/>
          <w:szCs w:val="28"/>
        </w:rPr>
        <w:t xml:space="preserve">, </w:t>
      </w:r>
      <w:r w:rsidR="005A4035" w:rsidRPr="000C40D3">
        <w:rPr>
          <w:sz w:val="28"/>
          <w:szCs w:val="28"/>
        </w:rPr>
        <w:t>there is undeniably a</w:t>
      </w:r>
      <w:r w:rsidR="000C626D" w:rsidRPr="000C40D3">
        <w:rPr>
          <w:sz w:val="28"/>
          <w:szCs w:val="28"/>
        </w:rPr>
        <w:t xml:space="preserve"> need for yield. </w:t>
      </w:r>
      <w:r w:rsidR="005A4035" w:rsidRPr="000C40D3">
        <w:rPr>
          <w:sz w:val="28"/>
          <w:szCs w:val="28"/>
        </w:rPr>
        <w:t xml:space="preserve">The </w:t>
      </w:r>
      <w:r w:rsidR="000C626D" w:rsidRPr="000C40D3">
        <w:rPr>
          <w:sz w:val="28"/>
          <w:szCs w:val="28"/>
        </w:rPr>
        <w:t xml:space="preserve">Commission tries to </w:t>
      </w:r>
      <w:r w:rsidRPr="000C40D3">
        <w:rPr>
          <w:sz w:val="28"/>
          <w:szCs w:val="28"/>
        </w:rPr>
        <w:t xml:space="preserve">make it easier for </w:t>
      </w:r>
      <w:r w:rsidR="005A4035" w:rsidRPr="000C40D3">
        <w:rPr>
          <w:sz w:val="28"/>
          <w:szCs w:val="28"/>
        </w:rPr>
        <w:t>insurers to find yield in socially useful investments</w:t>
      </w:r>
      <w:r w:rsidR="00146271" w:rsidRPr="000C40D3">
        <w:rPr>
          <w:sz w:val="28"/>
          <w:szCs w:val="28"/>
        </w:rPr>
        <w:t xml:space="preserve">, while discouraging </w:t>
      </w:r>
      <w:r w:rsidRPr="000C40D3">
        <w:rPr>
          <w:sz w:val="28"/>
          <w:szCs w:val="28"/>
        </w:rPr>
        <w:t xml:space="preserve">reckless </w:t>
      </w:r>
      <w:r w:rsidR="00146271" w:rsidRPr="000C40D3">
        <w:rPr>
          <w:sz w:val="28"/>
          <w:szCs w:val="28"/>
        </w:rPr>
        <w:t>behaviour</w:t>
      </w:r>
      <w:r w:rsidR="000C626D" w:rsidRPr="000C40D3">
        <w:rPr>
          <w:sz w:val="28"/>
          <w:szCs w:val="28"/>
        </w:rPr>
        <w:t>.</w:t>
      </w:r>
    </w:p>
    <w:p w:rsidR="00714CBE" w:rsidRPr="000C40D3" w:rsidRDefault="000C626D" w:rsidP="00CA34F0">
      <w:pPr>
        <w:jc w:val="both"/>
        <w:rPr>
          <w:sz w:val="28"/>
          <w:szCs w:val="28"/>
          <w:u w:val="single"/>
        </w:rPr>
      </w:pPr>
      <w:r w:rsidRPr="000C40D3">
        <w:rPr>
          <w:sz w:val="28"/>
          <w:szCs w:val="28"/>
          <w:u w:val="single"/>
        </w:rPr>
        <w:t>CMU, infrastructure, securitisation</w:t>
      </w:r>
    </w:p>
    <w:p w:rsidR="005A4035" w:rsidRPr="000C40D3" w:rsidRDefault="005A4035" w:rsidP="00CA34F0">
      <w:pPr>
        <w:jc w:val="both"/>
        <w:rPr>
          <w:sz w:val="28"/>
          <w:szCs w:val="28"/>
        </w:rPr>
      </w:pPr>
      <w:r w:rsidRPr="000C40D3">
        <w:rPr>
          <w:sz w:val="28"/>
          <w:szCs w:val="28"/>
        </w:rPr>
        <w:t xml:space="preserve">The Comission's key initiatives for growth and investment </w:t>
      </w:r>
      <w:r w:rsidR="00C47485" w:rsidRPr="000C40D3">
        <w:rPr>
          <w:sz w:val="28"/>
          <w:szCs w:val="28"/>
        </w:rPr>
        <w:t xml:space="preserve">in the financial sector </w:t>
      </w:r>
      <w:r w:rsidRPr="000C40D3">
        <w:rPr>
          <w:sz w:val="28"/>
          <w:szCs w:val="28"/>
        </w:rPr>
        <w:t>go under the heading of Capital Markets Union</w:t>
      </w:r>
      <w:r w:rsidR="005E411D" w:rsidRPr="000C40D3">
        <w:rPr>
          <w:sz w:val="28"/>
          <w:szCs w:val="28"/>
        </w:rPr>
        <w:t xml:space="preserve"> (CMU)</w:t>
      </w:r>
      <w:r w:rsidRPr="000C40D3">
        <w:rPr>
          <w:sz w:val="28"/>
          <w:szCs w:val="28"/>
        </w:rPr>
        <w:t>.</w:t>
      </w:r>
    </w:p>
    <w:p w:rsidR="00714CBE" w:rsidRPr="000C40D3" w:rsidRDefault="005A4035" w:rsidP="005A4035">
      <w:pPr>
        <w:jc w:val="both"/>
        <w:rPr>
          <w:sz w:val="28"/>
          <w:szCs w:val="28"/>
        </w:rPr>
      </w:pPr>
      <w:r w:rsidRPr="000C40D3">
        <w:rPr>
          <w:sz w:val="28"/>
          <w:szCs w:val="28"/>
        </w:rPr>
        <w:t xml:space="preserve">On 30 September, we adopted a package of measures for CMU, centred around an Action Plan. </w:t>
      </w:r>
      <w:r w:rsidR="00C47485" w:rsidRPr="000C40D3">
        <w:rPr>
          <w:sz w:val="28"/>
          <w:szCs w:val="28"/>
        </w:rPr>
        <w:t xml:space="preserve">The </w:t>
      </w:r>
      <w:r w:rsidRPr="000C40D3">
        <w:rPr>
          <w:sz w:val="28"/>
          <w:szCs w:val="28"/>
        </w:rPr>
        <w:t xml:space="preserve">package </w:t>
      </w:r>
      <w:r w:rsidR="00C47485" w:rsidRPr="000C40D3">
        <w:rPr>
          <w:sz w:val="28"/>
          <w:szCs w:val="28"/>
        </w:rPr>
        <w:t xml:space="preserve">also contained </w:t>
      </w:r>
      <w:r w:rsidRPr="000C40D3">
        <w:rPr>
          <w:sz w:val="28"/>
          <w:szCs w:val="28"/>
        </w:rPr>
        <w:t xml:space="preserve">a proposed Regulation on Simple Transparent and Standardised </w:t>
      </w:r>
      <w:r w:rsidR="00C26D1E" w:rsidRPr="000C40D3">
        <w:rPr>
          <w:sz w:val="28"/>
          <w:szCs w:val="28"/>
        </w:rPr>
        <w:t xml:space="preserve">(STS) </w:t>
      </w:r>
      <w:r w:rsidRPr="000C40D3">
        <w:rPr>
          <w:sz w:val="28"/>
          <w:szCs w:val="28"/>
        </w:rPr>
        <w:t>Securitisation</w:t>
      </w:r>
      <w:r w:rsidR="00C47485" w:rsidRPr="000C40D3">
        <w:rPr>
          <w:sz w:val="28"/>
          <w:szCs w:val="28"/>
        </w:rPr>
        <w:t> ;</w:t>
      </w:r>
      <w:r w:rsidRPr="000C40D3">
        <w:rPr>
          <w:sz w:val="28"/>
          <w:szCs w:val="28"/>
        </w:rPr>
        <w:t xml:space="preserve"> a consultation on </w:t>
      </w:r>
      <w:r w:rsidR="003B5DA9" w:rsidRPr="000C40D3">
        <w:rPr>
          <w:sz w:val="28"/>
          <w:szCs w:val="28"/>
        </w:rPr>
        <w:t>covered bonds</w:t>
      </w:r>
      <w:r w:rsidR="00C47485" w:rsidRPr="000C40D3">
        <w:rPr>
          <w:sz w:val="28"/>
          <w:szCs w:val="28"/>
        </w:rPr>
        <w:t> ;</w:t>
      </w:r>
      <w:r w:rsidR="003B5DA9" w:rsidRPr="000C40D3">
        <w:rPr>
          <w:sz w:val="28"/>
          <w:szCs w:val="28"/>
        </w:rPr>
        <w:t xml:space="preserve"> </w:t>
      </w:r>
      <w:r w:rsidR="005E411D" w:rsidRPr="000C40D3">
        <w:rPr>
          <w:sz w:val="28"/>
          <w:szCs w:val="28"/>
        </w:rPr>
        <w:t xml:space="preserve">and </w:t>
      </w:r>
      <w:r w:rsidRPr="000C40D3">
        <w:rPr>
          <w:sz w:val="28"/>
          <w:szCs w:val="28"/>
        </w:rPr>
        <w:t xml:space="preserve">a wide-ranging </w:t>
      </w:r>
      <w:r w:rsidR="003B5DA9" w:rsidRPr="000C40D3">
        <w:rPr>
          <w:sz w:val="28"/>
          <w:szCs w:val="28"/>
        </w:rPr>
        <w:t>call for evidence</w:t>
      </w:r>
      <w:r w:rsidRPr="000C40D3">
        <w:rPr>
          <w:sz w:val="28"/>
          <w:szCs w:val="28"/>
        </w:rPr>
        <w:t xml:space="preserve"> on the cumulative impact of financial regulation. A revision to the </w:t>
      </w:r>
      <w:r w:rsidR="00146271" w:rsidRPr="000C40D3">
        <w:rPr>
          <w:sz w:val="28"/>
          <w:szCs w:val="28"/>
        </w:rPr>
        <w:t xml:space="preserve">Prospectus Directive </w:t>
      </w:r>
      <w:r w:rsidRPr="000C40D3">
        <w:rPr>
          <w:sz w:val="28"/>
          <w:szCs w:val="28"/>
        </w:rPr>
        <w:t>will follow</w:t>
      </w:r>
      <w:r w:rsidR="003B5DA9" w:rsidRPr="000C40D3">
        <w:rPr>
          <w:sz w:val="28"/>
          <w:szCs w:val="28"/>
        </w:rPr>
        <w:t xml:space="preserve"> soon</w:t>
      </w:r>
      <w:r w:rsidR="00714CBE" w:rsidRPr="000C40D3">
        <w:rPr>
          <w:sz w:val="28"/>
          <w:szCs w:val="28"/>
        </w:rPr>
        <w:t xml:space="preserve">. </w:t>
      </w:r>
    </w:p>
    <w:p w:rsidR="00714CBE" w:rsidRDefault="005A4035" w:rsidP="005A4035">
      <w:pPr>
        <w:pStyle w:val="ListParagraph"/>
        <w:ind w:left="0"/>
        <w:jc w:val="both"/>
        <w:rPr>
          <w:sz w:val="28"/>
          <w:szCs w:val="28"/>
          <w:lang w:val="fr-BE"/>
        </w:rPr>
      </w:pPr>
      <w:r w:rsidRPr="000C40D3">
        <w:rPr>
          <w:sz w:val="28"/>
          <w:szCs w:val="28"/>
        </w:rPr>
        <w:t xml:space="preserve">But from the point of view of insurers and EIOPA, the main item in the package of 30 September will be the amendent to the Solvency II Delegated Act. </w:t>
      </w:r>
      <w:r>
        <w:rPr>
          <w:sz w:val="28"/>
          <w:szCs w:val="28"/>
          <w:lang w:val="fr-BE"/>
        </w:rPr>
        <w:t xml:space="preserve">This </w:t>
      </w:r>
      <w:proofErr w:type="spellStart"/>
      <w:r>
        <w:rPr>
          <w:sz w:val="28"/>
          <w:szCs w:val="28"/>
          <w:lang w:val="fr-BE"/>
        </w:rPr>
        <w:t>makes</w:t>
      </w:r>
      <w:proofErr w:type="spellEnd"/>
      <w:r>
        <w:rPr>
          <w:sz w:val="28"/>
          <w:szCs w:val="28"/>
          <w:lang w:val="fr-BE"/>
        </w:rPr>
        <w:t xml:space="preserve"> a </w:t>
      </w:r>
      <w:proofErr w:type="spellStart"/>
      <w:r>
        <w:rPr>
          <w:sz w:val="28"/>
          <w:szCs w:val="28"/>
          <w:lang w:val="fr-BE"/>
        </w:rPr>
        <w:t>number</w:t>
      </w:r>
      <w:proofErr w:type="spellEnd"/>
      <w:r>
        <w:rPr>
          <w:sz w:val="28"/>
          <w:szCs w:val="28"/>
          <w:lang w:val="fr-BE"/>
        </w:rPr>
        <w:t xml:space="preserve"> of </w:t>
      </w:r>
      <w:proofErr w:type="spellStart"/>
      <w:r w:rsidR="00C47485">
        <w:rPr>
          <w:sz w:val="28"/>
          <w:szCs w:val="28"/>
          <w:lang w:val="fr-BE"/>
        </w:rPr>
        <w:t>significant</w:t>
      </w:r>
      <w:proofErr w:type="spellEnd"/>
      <w:r w:rsidR="00C47485">
        <w:rPr>
          <w:sz w:val="28"/>
          <w:szCs w:val="28"/>
          <w:lang w:val="fr-BE"/>
        </w:rPr>
        <w:t xml:space="preserve"> </w:t>
      </w:r>
      <w:r>
        <w:rPr>
          <w:sz w:val="28"/>
          <w:szCs w:val="28"/>
          <w:lang w:val="fr-BE"/>
        </w:rPr>
        <w:t>changes:</w:t>
      </w:r>
    </w:p>
    <w:p w:rsidR="005A4035" w:rsidRDefault="005A4035" w:rsidP="005A4035">
      <w:pPr>
        <w:pStyle w:val="ListParagraph"/>
        <w:ind w:left="0"/>
        <w:jc w:val="both"/>
        <w:rPr>
          <w:sz w:val="28"/>
          <w:szCs w:val="28"/>
          <w:lang w:val="fr-BE"/>
        </w:rPr>
      </w:pPr>
    </w:p>
    <w:p w:rsidR="005A4035" w:rsidRDefault="00131773" w:rsidP="005A4035">
      <w:pPr>
        <w:pStyle w:val="ListParagraph"/>
        <w:numPr>
          <w:ilvl w:val="0"/>
          <w:numId w:val="9"/>
        </w:numPr>
        <w:jc w:val="both"/>
        <w:rPr>
          <w:sz w:val="28"/>
          <w:szCs w:val="28"/>
          <w:lang w:val="fr-BE"/>
        </w:rPr>
      </w:pPr>
      <w:r w:rsidRPr="000C40D3">
        <w:rPr>
          <w:sz w:val="28"/>
          <w:szCs w:val="28"/>
        </w:rPr>
        <w:lastRenderedPageBreak/>
        <w:t>Most importantly, i</w:t>
      </w:r>
      <w:r w:rsidR="005A4035" w:rsidRPr="000C40D3">
        <w:rPr>
          <w:sz w:val="28"/>
          <w:szCs w:val="28"/>
        </w:rPr>
        <w:t xml:space="preserve">t introduces a new asset </w:t>
      </w:r>
      <w:proofErr w:type="gramStart"/>
      <w:r w:rsidR="005A4035" w:rsidRPr="000C40D3">
        <w:rPr>
          <w:sz w:val="28"/>
          <w:szCs w:val="28"/>
        </w:rPr>
        <w:t>category, that</w:t>
      </w:r>
      <w:proofErr w:type="gramEnd"/>
      <w:r w:rsidR="005A4035" w:rsidRPr="000C40D3">
        <w:rPr>
          <w:sz w:val="28"/>
          <w:szCs w:val="28"/>
        </w:rPr>
        <w:t xml:space="preserve"> of qualifying infrastructure investments, with specific </w:t>
      </w:r>
      <w:r w:rsidRPr="000C40D3">
        <w:rPr>
          <w:sz w:val="28"/>
          <w:szCs w:val="28"/>
        </w:rPr>
        <w:t xml:space="preserve">adapted </w:t>
      </w:r>
      <w:r w:rsidR="005A4035" w:rsidRPr="000C40D3">
        <w:rPr>
          <w:sz w:val="28"/>
          <w:szCs w:val="28"/>
        </w:rPr>
        <w:t>risk calibrations</w:t>
      </w:r>
      <w:r w:rsidR="00C47485" w:rsidRPr="000C40D3">
        <w:rPr>
          <w:sz w:val="28"/>
          <w:szCs w:val="28"/>
        </w:rPr>
        <w:t xml:space="preserve">. These are </w:t>
      </w:r>
      <w:r w:rsidR="005A4035" w:rsidRPr="000C40D3">
        <w:rPr>
          <w:sz w:val="28"/>
          <w:szCs w:val="28"/>
        </w:rPr>
        <w:t>lower than those for most debt and equity categories – up to 40% lower. I would like to thank EIOPA for its sterling work, leading to the advice on which the infrastructure initiative is based.</w:t>
      </w:r>
      <w:r w:rsidR="005E411D" w:rsidRPr="000C40D3">
        <w:rPr>
          <w:sz w:val="28"/>
          <w:szCs w:val="28"/>
        </w:rPr>
        <w:t xml:space="preserve"> </w:t>
      </w:r>
      <w:r w:rsidR="00C26D1E">
        <w:rPr>
          <w:sz w:val="28"/>
          <w:szCs w:val="28"/>
          <w:lang w:val="fr-BE"/>
        </w:rPr>
        <w:t xml:space="preserve">This </w:t>
      </w:r>
      <w:proofErr w:type="spellStart"/>
      <w:r w:rsidR="00C47485">
        <w:rPr>
          <w:sz w:val="28"/>
          <w:szCs w:val="28"/>
          <w:lang w:val="fr-BE"/>
        </w:rPr>
        <w:t>was</w:t>
      </w:r>
      <w:proofErr w:type="spellEnd"/>
      <w:r w:rsidR="00C26D1E">
        <w:rPr>
          <w:sz w:val="28"/>
          <w:szCs w:val="28"/>
          <w:lang w:val="fr-BE"/>
        </w:rPr>
        <w:t xml:space="preserve"> </w:t>
      </w:r>
      <w:proofErr w:type="gramStart"/>
      <w:r w:rsidR="00C26D1E">
        <w:rPr>
          <w:sz w:val="28"/>
          <w:szCs w:val="28"/>
          <w:lang w:val="fr-BE"/>
        </w:rPr>
        <w:t>a</w:t>
      </w:r>
      <w:proofErr w:type="gramEnd"/>
      <w:r w:rsidR="00C26D1E">
        <w:rPr>
          <w:sz w:val="28"/>
          <w:szCs w:val="28"/>
          <w:lang w:val="fr-BE"/>
        </w:rPr>
        <w:t xml:space="preserve"> </w:t>
      </w:r>
      <w:proofErr w:type="spellStart"/>
      <w:r w:rsidR="00C26D1E">
        <w:rPr>
          <w:sz w:val="28"/>
          <w:szCs w:val="28"/>
          <w:lang w:val="fr-BE"/>
        </w:rPr>
        <w:t>significant</w:t>
      </w:r>
      <w:proofErr w:type="spellEnd"/>
      <w:r w:rsidR="00C26D1E">
        <w:rPr>
          <w:sz w:val="28"/>
          <w:szCs w:val="28"/>
          <w:lang w:val="fr-BE"/>
        </w:rPr>
        <w:t xml:space="preserve"> </w:t>
      </w:r>
      <w:proofErr w:type="spellStart"/>
      <w:r w:rsidR="00C26D1E">
        <w:rPr>
          <w:sz w:val="28"/>
          <w:szCs w:val="28"/>
          <w:lang w:val="fr-BE"/>
        </w:rPr>
        <w:t>achievement</w:t>
      </w:r>
      <w:proofErr w:type="spellEnd"/>
      <w:r w:rsidR="00C26D1E">
        <w:rPr>
          <w:sz w:val="28"/>
          <w:szCs w:val="28"/>
          <w:lang w:val="fr-BE"/>
        </w:rPr>
        <w:t xml:space="preserve"> in a short time.</w:t>
      </w:r>
    </w:p>
    <w:p w:rsidR="005A4035" w:rsidRPr="00152E55" w:rsidRDefault="005A4035" w:rsidP="00CA34F0">
      <w:pPr>
        <w:pStyle w:val="ListParagraph"/>
        <w:jc w:val="both"/>
        <w:rPr>
          <w:sz w:val="28"/>
          <w:szCs w:val="28"/>
          <w:lang w:val="fr-BE"/>
        </w:rPr>
      </w:pPr>
    </w:p>
    <w:p w:rsidR="00C26D1E" w:rsidRPr="000C40D3" w:rsidRDefault="00C26D1E" w:rsidP="00C26D1E">
      <w:pPr>
        <w:pStyle w:val="ListParagraph"/>
        <w:numPr>
          <w:ilvl w:val="0"/>
          <w:numId w:val="1"/>
        </w:numPr>
        <w:jc w:val="both"/>
        <w:rPr>
          <w:sz w:val="28"/>
          <w:szCs w:val="28"/>
        </w:rPr>
      </w:pPr>
      <w:r w:rsidRPr="000C40D3">
        <w:rPr>
          <w:sz w:val="28"/>
          <w:szCs w:val="28"/>
        </w:rPr>
        <w:t xml:space="preserve">It also extends the application of the </w:t>
      </w:r>
      <w:r w:rsidR="00131773" w:rsidRPr="000C40D3">
        <w:rPr>
          <w:sz w:val="28"/>
          <w:szCs w:val="28"/>
        </w:rPr>
        <w:t>so-called "</w:t>
      </w:r>
      <w:r w:rsidRPr="000C40D3">
        <w:rPr>
          <w:sz w:val="28"/>
          <w:szCs w:val="28"/>
        </w:rPr>
        <w:t>equity transitional</w:t>
      </w:r>
      <w:r w:rsidR="00C47485" w:rsidRPr="000C40D3">
        <w:rPr>
          <w:sz w:val="28"/>
          <w:szCs w:val="28"/>
        </w:rPr>
        <w:t xml:space="preserve"> period</w:t>
      </w:r>
      <w:r w:rsidR="00131773" w:rsidRPr="000C40D3">
        <w:rPr>
          <w:sz w:val="28"/>
          <w:szCs w:val="28"/>
        </w:rPr>
        <w:t>"</w:t>
      </w:r>
      <w:r w:rsidRPr="000C40D3">
        <w:rPr>
          <w:sz w:val="28"/>
          <w:szCs w:val="28"/>
        </w:rPr>
        <w:t xml:space="preserve"> </w:t>
      </w:r>
      <w:r w:rsidR="005E411D" w:rsidRPr="000C40D3">
        <w:rPr>
          <w:sz w:val="28"/>
          <w:szCs w:val="28"/>
        </w:rPr>
        <w:t>to unlisted equities,</w:t>
      </w:r>
      <w:r w:rsidRPr="000C40D3">
        <w:rPr>
          <w:sz w:val="28"/>
          <w:szCs w:val="28"/>
        </w:rPr>
        <w:t xml:space="preserve"> and clarifie</w:t>
      </w:r>
      <w:r w:rsidR="00C47485" w:rsidRPr="000C40D3">
        <w:rPr>
          <w:sz w:val="28"/>
          <w:szCs w:val="28"/>
        </w:rPr>
        <w:t>s</w:t>
      </w:r>
      <w:r w:rsidRPr="000C40D3">
        <w:rPr>
          <w:sz w:val="28"/>
          <w:szCs w:val="28"/>
        </w:rPr>
        <w:t xml:space="preserve"> </w:t>
      </w:r>
      <w:r w:rsidR="005E411D" w:rsidRPr="000C40D3">
        <w:rPr>
          <w:sz w:val="28"/>
          <w:szCs w:val="28"/>
        </w:rPr>
        <w:t xml:space="preserve">how the equity transitional </w:t>
      </w:r>
      <w:r w:rsidR="00C47485" w:rsidRPr="000C40D3">
        <w:rPr>
          <w:sz w:val="28"/>
          <w:szCs w:val="28"/>
        </w:rPr>
        <w:t xml:space="preserve">period </w:t>
      </w:r>
      <w:r w:rsidR="005E411D" w:rsidRPr="000C40D3">
        <w:rPr>
          <w:sz w:val="28"/>
          <w:szCs w:val="28"/>
        </w:rPr>
        <w:t xml:space="preserve">applies to managed equity funds. This </w:t>
      </w:r>
      <w:r w:rsidR="00131773" w:rsidRPr="000C40D3">
        <w:rPr>
          <w:sz w:val="28"/>
          <w:szCs w:val="28"/>
        </w:rPr>
        <w:t>measure phases in Solvency II equity calibrations over seven years</w:t>
      </w:r>
      <w:r w:rsidR="00C47485" w:rsidRPr="000C40D3">
        <w:rPr>
          <w:sz w:val="28"/>
          <w:szCs w:val="28"/>
        </w:rPr>
        <w:t xml:space="preserve"> and </w:t>
      </w:r>
      <w:r w:rsidR="005E411D" w:rsidRPr="000C40D3">
        <w:rPr>
          <w:sz w:val="28"/>
          <w:szCs w:val="28"/>
        </w:rPr>
        <w:t xml:space="preserve">is </w:t>
      </w:r>
      <w:r w:rsidR="00131773" w:rsidRPr="000C40D3">
        <w:rPr>
          <w:sz w:val="28"/>
          <w:szCs w:val="28"/>
        </w:rPr>
        <w:t>also</w:t>
      </w:r>
      <w:r w:rsidR="005E411D" w:rsidRPr="000C40D3">
        <w:rPr>
          <w:sz w:val="28"/>
          <w:szCs w:val="28"/>
        </w:rPr>
        <w:t xml:space="preserve"> positive for growth, as it will prevent selling off of unlisted equities</w:t>
      </w:r>
      <w:r w:rsidRPr="000C40D3">
        <w:rPr>
          <w:sz w:val="28"/>
          <w:szCs w:val="28"/>
        </w:rPr>
        <w:t>. Unlisted equities can be SME equities or infrastructure equities, for example</w:t>
      </w:r>
      <w:r w:rsidR="00C47485" w:rsidRPr="000C40D3">
        <w:rPr>
          <w:sz w:val="28"/>
          <w:szCs w:val="28"/>
        </w:rPr>
        <w:t>. I</w:t>
      </w:r>
      <w:r w:rsidRPr="000C40D3">
        <w:rPr>
          <w:sz w:val="28"/>
          <w:szCs w:val="28"/>
        </w:rPr>
        <w:t>t would have been incoherent with the objectives of CMU not to allow such equities t</w:t>
      </w:r>
      <w:r w:rsidR="005E411D" w:rsidRPr="000C40D3">
        <w:rPr>
          <w:sz w:val="28"/>
          <w:szCs w:val="28"/>
        </w:rPr>
        <w:t>o benefit from the transitional</w:t>
      </w:r>
      <w:r w:rsidR="00C47485" w:rsidRPr="000C40D3">
        <w:rPr>
          <w:sz w:val="28"/>
          <w:szCs w:val="28"/>
        </w:rPr>
        <w:t xml:space="preserve"> period</w:t>
      </w:r>
      <w:r w:rsidR="005E411D" w:rsidRPr="000C40D3">
        <w:rPr>
          <w:sz w:val="28"/>
          <w:szCs w:val="28"/>
        </w:rPr>
        <w:t>. There will also shortly be a technical standard on the detailed application of this measure.</w:t>
      </w:r>
    </w:p>
    <w:p w:rsidR="00C26D1E" w:rsidRPr="000C40D3" w:rsidRDefault="00C26D1E" w:rsidP="00C26D1E">
      <w:pPr>
        <w:pStyle w:val="ListParagraph"/>
        <w:jc w:val="both"/>
        <w:rPr>
          <w:sz w:val="28"/>
          <w:szCs w:val="28"/>
        </w:rPr>
      </w:pPr>
    </w:p>
    <w:p w:rsidR="000C626D" w:rsidRPr="000C40D3" w:rsidRDefault="00C26D1E" w:rsidP="005E411D">
      <w:pPr>
        <w:jc w:val="both"/>
        <w:rPr>
          <w:sz w:val="28"/>
          <w:szCs w:val="28"/>
        </w:rPr>
      </w:pPr>
      <w:r w:rsidRPr="000C40D3">
        <w:rPr>
          <w:sz w:val="28"/>
          <w:szCs w:val="28"/>
        </w:rPr>
        <w:t>Regarding s</w:t>
      </w:r>
      <w:r w:rsidR="000C626D" w:rsidRPr="000C40D3">
        <w:rPr>
          <w:sz w:val="28"/>
          <w:szCs w:val="28"/>
        </w:rPr>
        <w:t>ecuritisation</w:t>
      </w:r>
      <w:r w:rsidRPr="000C40D3">
        <w:rPr>
          <w:sz w:val="28"/>
          <w:szCs w:val="28"/>
        </w:rPr>
        <w:t>, the Commission intends to</w:t>
      </w:r>
      <w:r w:rsidR="000C626D" w:rsidRPr="000C40D3">
        <w:rPr>
          <w:sz w:val="28"/>
          <w:szCs w:val="28"/>
        </w:rPr>
        <w:t xml:space="preserve"> look again at non-senior tranches of STS</w:t>
      </w:r>
      <w:r w:rsidRPr="000C40D3">
        <w:rPr>
          <w:sz w:val="28"/>
          <w:szCs w:val="28"/>
        </w:rPr>
        <w:t xml:space="preserve"> </w:t>
      </w:r>
      <w:r w:rsidR="005E411D" w:rsidRPr="000C40D3">
        <w:rPr>
          <w:sz w:val="28"/>
          <w:szCs w:val="28"/>
        </w:rPr>
        <w:t xml:space="preserve">– high-quality - </w:t>
      </w:r>
      <w:r w:rsidRPr="000C40D3">
        <w:rPr>
          <w:sz w:val="28"/>
          <w:szCs w:val="28"/>
        </w:rPr>
        <w:t>securitisations in Solvency II</w:t>
      </w:r>
      <w:r w:rsidR="00C47485" w:rsidRPr="000C40D3">
        <w:rPr>
          <w:sz w:val="28"/>
          <w:szCs w:val="28"/>
        </w:rPr>
        <w:t xml:space="preserve">. </w:t>
      </w:r>
      <w:r w:rsidRPr="000C40D3">
        <w:rPr>
          <w:sz w:val="28"/>
          <w:szCs w:val="28"/>
        </w:rPr>
        <w:t>At the moment, only senior tranches have an adapted calibration in Solvency II</w:t>
      </w:r>
      <w:r w:rsidR="00C47485" w:rsidRPr="000C40D3">
        <w:rPr>
          <w:sz w:val="28"/>
          <w:szCs w:val="28"/>
        </w:rPr>
        <w:t>. T</w:t>
      </w:r>
      <w:r w:rsidRPr="000C40D3">
        <w:rPr>
          <w:sz w:val="28"/>
          <w:szCs w:val="28"/>
        </w:rPr>
        <w:t>here is no rationale for not doing the same for other tranches. But that will be at some point during 2016, as we must wait for Parliament and Council to do their work on the Regulation first, to ensure consistency with that.</w:t>
      </w:r>
    </w:p>
    <w:p w:rsidR="000C626D" w:rsidRPr="000C40D3" w:rsidRDefault="000C626D" w:rsidP="00CA34F0">
      <w:pPr>
        <w:jc w:val="both"/>
        <w:rPr>
          <w:sz w:val="28"/>
          <w:szCs w:val="28"/>
          <w:u w:val="single"/>
        </w:rPr>
      </w:pPr>
      <w:r w:rsidRPr="000C40D3">
        <w:rPr>
          <w:sz w:val="28"/>
          <w:szCs w:val="28"/>
          <w:u w:val="single"/>
        </w:rPr>
        <w:t xml:space="preserve">Solvency II </w:t>
      </w:r>
      <w:r w:rsidR="00756302" w:rsidRPr="000C40D3">
        <w:rPr>
          <w:sz w:val="28"/>
          <w:szCs w:val="28"/>
          <w:u w:val="single"/>
        </w:rPr>
        <w:t>implementation</w:t>
      </w:r>
    </w:p>
    <w:p w:rsidR="00152E55" w:rsidRPr="000C40D3" w:rsidRDefault="005E411D" w:rsidP="00CA34F0">
      <w:pPr>
        <w:jc w:val="both"/>
        <w:rPr>
          <w:sz w:val="28"/>
          <w:szCs w:val="28"/>
        </w:rPr>
      </w:pPr>
      <w:r w:rsidRPr="000C40D3">
        <w:rPr>
          <w:sz w:val="28"/>
          <w:szCs w:val="28"/>
        </w:rPr>
        <w:t xml:space="preserve">We are now in the implementation phase for Solvency II, a phase which some sceptics thought would not arrive. </w:t>
      </w:r>
      <w:r w:rsidR="00152E55" w:rsidRPr="000C40D3">
        <w:rPr>
          <w:sz w:val="28"/>
          <w:szCs w:val="28"/>
        </w:rPr>
        <w:t>There are l</w:t>
      </w:r>
      <w:r w:rsidR="000C626D" w:rsidRPr="000C40D3">
        <w:rPr>
          <w:sz w:val="28"/>
          <w:szCs w:val="28"/>
        </w:rPr>
        <w:t xml:space="preserve">ess than 2 months to go until Solvency II </w:t>
      </w:r>
      <w:r w:rsidR="00C47485" w:rsidRPr="000C40D3">
        <w:rPr>
          <w:sz w:val="28"/>
          <w:szCs w:val="28"/>
        </w:rPr>
        <w:t>is applied from</w:t>
      </w:r>
      <w:r w:rsidR="00152E55" w:rsidRPr="000C40D3">
        <w:rPr>
          <w:sz w:val="28"/>
          <w:szCs w:val="28"/>
        </w:rPr>
        <w:t xml:space="preserve"> </w:t>
      </w:r>
      <w:r w:rsidR="00C47485" w:rsidRPr="000C40D3">
        <w:rPr>
          <w:sz w:val="28"/>
          <w:szCs w:val="28"/>
        </w:rPr>
        <w:t>the first of</w:t>
      </w:r>
      <w:r w:rsidR="00152E55" w:rsidRPr="000C40D3">
        <w:rPr>
          <w:sz w:val="28"/>
          <w:szCs w:val="28"/>
        </w:rPr>
        <w:t xml:space="preserve"> January</w:t>
      </w:r>
      <w:r w:rsidR="000C626D" w:rsidRPr="000C40D3">
        <w:rPr>
          <w:sz w:val="28"/>
          <w:szCs w:val="28"/>
        </w:rPr>
        <w:t xml:space="preserve">. </w:t>
      </w:r>
    </w:p>
    <w:p w:rsidR="00152E55" w:rsidRPr="000C40D3" w:rsidRDefault="00152E55" w:rsidP="00CA34F0">
      <w:pPr>
        <w:jc w:val="both"/>
        <w:rPr>
          <w:sz w:val="28"/>
          <w:szCs w:val="28"/>
        </w:rPr>
      </w:pPr>
      <w:r w:rsidRPr="000C40D3">
        <w:rPr>
          <w:sz w:val="28"/>
          <w:szCs w:val="28"/>
        </w:rPr>
        <w:t>I salute the work which has been done by EIOPA, by national supervisors and by the insurance sector to prepare for this long-awaited day.</w:t>
      </w:r>
    </w:p>
    <w:p w:rsidR="000C626D" w:rsidRPr="000C40D3" w:rsidRDefault="00152E55" w:rsidP="00CA34F0">
      <w:pPr>
        <w:jc w:val="both"/>
        <w:rPr>
          <w:sz w:val="28"/>
          <w:szCs w:val="28"/>
        </w:rPr>
      </w:pPr>
      <w:r w:rsidRPr="000C40D3">
        <w:rPr>
          <w:sz w:val="28"/>
          <w:szCs w:val="28"/>
        </w:rPr>
        <w:t xml:space="preserve">The Commission is playing its part. </w:t>
      </w:r>
      <w:r w:rsidR="00131773" w:rsidRPr="000C40D3">
        <w:rPr>
          <w:sz w:val="28"/>
          <w:szCs w:val="28"/>
        </w:rPr>
        <w:t>Last week,</w:t>
      </w:r>
      <w:r w:rsidRPr="000C40D3">
        <w:rPr>
          <w:sz w:val="28"/>
          <w:szCs w:val="28"/>
        </w:rPr>
        <w:t xml:space="preserve"> we adopted a </w:t>
      </w:r>
      <w:r w:rsidR="000C626D" w:rsidRPr="000C40D3">
        <w:rPr>
          <w:sz w:val="28"/>
          <w:szCs w:val="28"/>
        </w:rPr>
        <w:t xml:space="preserve">package of 7 </w:t>
      </w:r>
      <w:r w:rsidRPr="000C40D3">
        <w:rPr>
          <w:sz w:val="28"/>
          <w:szCs w:val="28"/>
        </w:rPr>
        <w:t>technical standards, prepared by EIOPA</w:t>
      </w:r>
      <w:r w:rsidR="000C626D" w:rsidRPr="000C40D3">
        <w:rPr>
          <w:sz w:val="28"/>
          <w:szCs w:val="28"/>
        </w:rPr>
        <w:t>.</w:t>
      </w:r>
    </w:p>
    <w:p w:rsidR="00152E55" w:rsidRPr="000C40D3" w:rsidRDefault="00152E55" w:rsidP="00CA34F0">
      <w:pPr>
        <w:jc w:val="both"/>
        <w:rPr>
          <w:sz w:val="28"/>
          <w:szCs w:val="28"/>
        </w:rPr>
      </w:pPr>
      <w:r w:rsidRPr="000C40D3">
        <w:rPr>
          <w:sz w:val="28"/>
          <w:szCs w:val="28"/>
        </w:rPr>
        <w:lastRenderedPageBreak/>
        <w:t xml:space="preserve">In a couple of weeks, we will adopt </w:t>
      </w:r>
      <w:r w:rsidR="00CA34F0" w:rsidRPr="000C40D3">
        <w:rPr>
          <w:sz w:val="28"/>
          <w:szCs w:val="28"/>
        </w:rPr>
        <w:t xml:space="preserve">and put on our website in every EU language </w:t>
      </w:r>
      <w:r w:rsidRPr="000C40D3">
        <w:rPr>
          <w:sz w:val="28"/>
          <w:szCs w:val="28"/>
        </w:rPr>
        <w:t>three more technical standards, those on reporting, disclosure and transparency</w:t>
      </w:r>
      <w:r w:rsidR="00CA34F0" w:rsidRPr="000C40D3">
        <w:rPr>
          <w:sz w:val="28"/>
          <w:szCs w:val="28"/>
        </w:rPr>
        <w:t xml:space="preserve">. The reporting templates must be used by insurers for their 2016 opening reporting. Even if they are only published in the Official Journal after the </w:t>
      </w:r>
      <w:r w:rsidR="00C47485" w:rsidRPr="000C40D3">
        <w:rPr>
          <w:sz w:val="28"/>
          <w:szCs w:val="28"/>
        </w:rPr>
        <w:t xml:space="preserve">beginning </w:t>
      </w:r>
      <w:r w:rsidR="00CA34F0" w:rsidRPr="000C40D3">
        <w:rPr>
          <w:sz w:val="28"/>
          <w:szCs w:val="28"/>
        </w:rPr>
        <w:t>of January, the application date will be set at 1 January 2016.</w:t>
      </w:r>
      <w:r w:rsidR="005E411D" w:rsidRPr="000C40D3">
        <w:rPr>
          <w:sz w:val="28"/>
          <w:szCs w:val="28"/>
        </w:rPr>
        <w:t xml:space="preserve"> So there will be no excuse for not using them.</w:t>
      </w:r>
    </w:p>
    <w:p w:rsidR="000C626D" w:rsidRPr="000C40D3" w:rsidRDefault="00CA34F0" w:rsidP="00CA34F0">
      <w:pPr>
        <w:pStyle w:val="ListParagraph"/>
        <w:ind w:left="0"/>
        <w:jc w:val="both"/>
        <w:rPr>
          <w:sz w:val="28"/>
          <w:szCs w:val="28"/>
        </w:rPr>
      </w:pPr>
      <w:r w:rsidRPr="000C40D3">
        <w:rPr>
          <w:sz w:val="28"/>
          <w:szCs w:val="28"/>
        </w:rPr>
        <w:t xml:space="preserve">Regarding the mapping of ratings by rating agencies – </w:t>
      </w:r>
      <w:r w:rsidR="00131773" w:rsidRPr="000C40D3">
        <w:rPr>
          <w:sz w:val="28"/>
          <w:szCs w:val="28"/>
        </w:rPr>
        <w:t xml:space="preserve">so-called </w:t>
      </w:r>
      <w:r w:rsidRPr="000C40D3">
        <w:rPr>
          <w:sz w:val="28"/>
          <w:szCs w:val="28"/>
        </w:rPr>
        <w:t xml:space="preserve">ECAIs – the situation is more complex. The three ESAs submitted a draft technical standard on this at the end of October, for which I thank them. However, the draft includes a change in the mapping </w:t>
      </w:r>
      <w:r w:rsidR="00C47485" w:rsidRPr="000C40D3">
        <w:rPr>
          <w:sz w:val="28"/>
          <w:szCs w:val="28"/>
        </w:rPr>
        <w:t xml:space="preserve">that is due </w:t>
      </w:r>
      <w:r w:rsidRPr="000C40D3">
        <w:rPr>
          <w:sz w:val="28"/>
          <w:szCs w:val="28"/>
        </w:rPr>
        <w:t>to come into effect in three years' time</w:t>
      </w:r>
      <w:r w:rsidR="00C47485" w:rsidRPr="000C40D3">
        <w:rPr>
          <w:sz w:val="28"/>
          <w:szCs w:val="28"/>
        </w:rPr>
        <w:t xml:space="preserve">. This would be </w:t>
      </w:r>
      <w:r w:rsidRPr="000C40D3">
        <w:rPr>
          <w:sz w:val="28"/>
          <w:szCs w:val="28"/>
        </w:rPr>
        <w:t xml:space="preserve">to the detriment of smaller rating agencies, and this the Commission cannot accept. We therefore </w:t>
      </w:r>
      <w:r w:rsidR="00131773" w:rsidRPr="000C40D3">
        <w:rPr>
          <w:sz w:val="28"/>
          <w:szCs w:val="28"/>
        </w:rPr>
        <w:t xml:space="preserve">intend to </w:t>
      </w:r>
      <w:r w:rsidRPr="000C40D3">
        <w:rPr>
          <w:sz w:val="28"/>
          <w:szCs w:val="28"/>
        </w:rPr>
        <w:t>use our right to modify the draft standard in this respect</w:t>
      </w:r>
      <w:r w:rsidR="00131773" w:rsidRPr="000C40D3">
        <w:rPr>
          <w:sz w:val="28"/>
          <w:szCs w:val="28"/>
        </w:rPr>
        <w:t>.</w:t>
      </w:r>
    </w:p>
    <w:p w:rsidR="000C626D" w:rsidRPr="000C40D3" w:rsidRDefault="000C626D" w:rsidP="00CA34F0">
      <w:pPr>
        <w:jc w:val="both"/>
        <w:rPr>
          <w:sz w:val="28"/>
          <w:szCs w:val="28"/>
          <w:u w:val="single"/>
        </w:rPr>
      </w:pPr>
      <w:r w:rsidRPr="000C40D3">
        <w:rPr>
          <w:sz w:val="28"/>
          <w:szCs w:val="28"/>
          <w:u w:val="single"/>
        </w:rPr>
        <w:t>Consumer issues</w:t>
      </w:r>
    </w:p>
    <w:p w:rsidR="00CA34F0" w:rsidRPr="000C40D3" w:rsidRDefault="00CA34F0" w:rsidP="00CA34F0">
      <w:pPr>
        <w:jc w:val="both"/>
        <w:rPr>
          <w:sz w:val="28"/>
          <w:szCs w:val="28"/>
        </w:rPr>
      </w:pPr>
      <w:r w:rsidRPr="000C40D3">
        <w:rPr>
          <w:sz w:val="28"/>
          <w:szCs w:val="28"/>
        </w:rPr>
        <w:t>I wish to say a word about consumer protection and retail financial services, a subject close to the heart of Commissioner Hill.</w:t>
      </w:r>
    </w:p>
    <w:p w:rsidR="00E5273A" w:rsidRPr="000C40D3" w:rsidRDefault="00E5273A" w:rsidP="00E5273A">
      <w:pPr>
        <w:jc w:val="both"/>
        <w:rPr>
          <w:sz w:val="28"/>
          <w:szCs w:val="28"/>
        </w:rPr>
      </w:pPr>
      <w:r w:rsidRPr="000C40D3">
        <w:rPr>
          <w:sz w:val="28"/>
          <w:szCs w:val="28"/>
        </w:rPr>
        <w:t>In a few days the Insurance Distribution Directive will be adopted in the European Parliament</w:t>
      </w:r>
      <w:r w:rsidR="00131773" w:rsidRPr="000C40D3">
        <w:rPr>
          <w:sz w:val="28"/>
          <w:szCs w:val="28"/>
        </w:rPr>
        <w:t xml:space="preserve"> plenary</w:t>
      </w:r>
      <w:r w:rsidRPr="000C40D3">
        <w:rPr>
          <w:sz w:val="28"/>
          <w:szCs w:val="28"/>
        </w:rPr>
        <w:t>, and shortly thereafter published in the O</w:t>
      </w:r>
      <w:r w:rsidR="005E411D" w:rsidRPr="000C40D3">
        <w:rPr>
          <w:sz w:val="28"/>
          <w:szCs w:val="28"/>
        </w:rPr>
        <w:t>fficial Journal of the EU</w:t>
      </w:r>
      <w:r w:rsidRPr="000C40D3">
        <w:rPr>
          <w:sz w:val="28"/>
          <w:szCs w:val="28"/>
        </w:rPr>
        <w:t xml:space="preserve">. The IDD is a huge step forward, improving transparency for sellers and </w:t>
      </w:r>
      <w:r w:rsidR="00FB613E" w:rsidRPr="000C40D3">
        <w:rPr>
          <w:sz w:val="28"/>
          <w:szCs w:val="28"/>
        </w:rPr>
        <w:t>protection for purchasers of ins</w:t>
      </w:r>
      <w:r w:rsidRPr="000C40D3">
        <w:rPr>
          <w:sz w:val="28"/>
          <w:szCs w:val="28"/>
        </w:rPr>
        <w:t>urance, including a Key Information Document for non-life insurance. I want to thank all those who worked on this important Directive, including of course in EIOPA.</w:t>
      </w:r>
    </w:p>
    <w:p w:rsidR="00E5273A" w:rsidRPr="000C40D3" w:rsidRDefault="00E5273A" w:rsidP="00E5273A">
      <w:pPr>
        <w:jc w:val="both"/>
        <w:rPr>
          <w:sz w:val="28"/>
          <w:szCs w:val="28"/>
        </w:rPr>
      </w:pPr>
      <w:r w:rsidRPr="000C40D3">
        <w:rPr>
          <w:sz w:val="28"/>
          <w:szCs w:val="28"/>
        </w:rPr>
        <w:t xml:space="preserve">There </w:t>
      </w:r>
      <w:r w:rsidR="00005267" w:rsidRPr="000C40D3">
        <w:rPr>
          <w:sz w:val="28"/>
          <w:szCs w:val="28"/>
        </w:rPr>
        <w:t xml:space="preserve">is still </w:t>
      </w:r>
      <w:r w:rsidRPr="000C40D3">
        <w:rPr>
          <w:sz w:val="28"/>
          <w:szCs w:val="28"/>
        </w:rPr>
        <w:t xml:space="preserve">a lot of work </w:t>
      </w:r>
      <w:r w:rsidR="00005267" w:rsidRPr="000C40D3">
        <w:rPr>
          <w:sz w:val="28"/>
          <w:szCs w:val="28"/>
        </w:rPr>
        <w:t xml:space="preserve">to do </w:t>
      </w:r>
      <w:r w:rsidRPr="000C40D3">
        <w:rPr>
          <w:sz w:val="28"/>
          <w:szCs w:val="28"/>
        </w:rPr>
        <w:t xml:space="preserve">on IDD implementation and level 2 measures. The Directive contains four empowerments for Commission Delegated regulations, on product </w:t>
      </w:r>
      <w:r w:rsidR="00FB613E" w:rsidRPr="000C40D3">
        <w:rPr>
          <w:sz w:val="28"/>
          <w:szCs w:val="28"/>
        </w:rPr>
        <w:t xml:space="preserve">oversight and </w:t>
      </w:r>
      <w:r w:rsidRPr="000C40D3">
        <w:rPr>
          <w:sz w:val="28"/>
          <w:szCs w:val="28"/>
        </w:rPr>
        <w:t>governance, conflicts of interest, inducements and suitability and appropriateness. We will shortly send a Call for Advice to EIOPA on those subjects, and the Delegated Regulations should be adopted in 2017.</w:t>
      </w:r>
    </w:p>
    <w:p w:rsidR="000C626D" w:rsidRPr="000C40D3" w:rsidRDefault="00CA34F0" w:rsidP="00CA34F0">
      <w:pPr>
        <w:jc w:val="both"/>
        <w:rPr>
          <w:sz w:val="28"/>
          <w:szCs w:val="28"/>
        </w:rPr>
      </w:pPr>
      <w:r w:rsidRPr="000C40D3">
        <w:rPr>
          <w:sz w:val="28"/>
          <w:szCs w:val="28"/>
        </w:rPr>
        <w:t xml:space="preserve">Before the end of this year, the Commission will adopt a </w:t>
      </w:r>
      <w:r w:rsidR="000C626D" w:rsidRPr="000C40D3">
        <w:rPr>
          <w:sz w:val="28"/>
          <w:szCs w:val="28"/>
        </w:rPr>
        <w:t>Green Paper</w:t>
      </w:r>
      <w:r w:rsidRPr="000C40D3">
        <w:rPr>
          <w:sz w:val="28"/>
          <w:szCs w:val="28"/>
        </w:rPr>
        <w:t xml:space="preserve"> on </w:t>
      </w:r>
      <w:r w:rsidR="00005267" w:rsidRPr="000C40D3">
        <w:rPr>
          <w:sz w:val="28"/>
          <w:szCs w:val="28"/>
        </w:rPr>
        <w:t>retail financial services</w:t>
      </w:r>
      <w:r w:rsidR="000C626D" w:rsidRPr="000C40D3">
        <w:rPr>
          <w:sz w:val="28"/>
          <w:szCs w:val="28"/>
        </w:rPr>
        <w:t>, and insurance is an important feature of it.</w:t>
      </w:r>
    </w:p>
    <w:p w:rsidR="00324CF7" w:rsidRPr="000C40D3" w:rsidRDefault="00324CF7" w:rsidP="00CA34F0">
      <w:pPr>
        <w:jc w:val="both"/>
        <w:rPr>
          <w:sz w:val="28"/>
          <w:szCs w:val="28"/>
        </w:rPr>
      </w:pPr>
      <w:r w:rsidRPr="000C40D3">
        <w:rPr>
          <w:sz w:val="28"/>
          <w:szCs w:val="28"/>
        </w:rPr>
        <w:lastRenderedPageBreak/>
        <w:t>Despite the known barriers, we must work to create a genuine single market for insurance and pensions, with more cross-border sales, and better portability of products.</w:t>
      </w:r>
    </w:p>
    <w:p w:rsidR="0024370A" w:rsidRPr="000C40D3" w:rsidRDefault="00CA34F0" w:rsidP="00CA34F0">
      <w:pPr>
        <w:jc w:val="both"/>
        <w:rPr>
          <w:sz w:val="28"/>
          <w:szCs w:val="28"/>
        </w:rPr>
      </w:pPr>
      <w:r w:rsidRPr="000C40D3">
        <w:rPr>
          <w:sz w:val="28"/>
          <w:szCs w:val="28"/>
        </w:rPr>
        <w:t xml:space="preserve">One of the central ideas in the Green </w:t>
      </w:r>
      <w:r w:rsidR="00005267" w:rsidRPr="000C40D3">
        <w:rPr>
          <w:sz w:val="28"/>
          <w:szCs w:val="28"/>
        </w:rPr>
        <w:t>P</w:t>
      </w:r>
      <w:r w:rsidRPr="000C40D3">
        <w:rPr>
          <w:sz w:val="28"/>
          <w:szCs w:val="28"/>
        </w:rPr>
        <w:t>aper</w:t>
      </w:r>
      <w:r w:rsidR="000C626D" w:rsidRPr="000C40D3">
        <w:rPr>
          <w:sz w:val="28"/>
          <w:szCs w:val="28"/>
        </w:rPr>
        <w:t xml:space="preserve"> will be </w:t>
      </w:r>
      <w:r w:rsidRPr="000C40D3">
        <w:rPr>
          <w:sz w:val="28"/>
          <w:szCs w:val="28"/>
        </w:rPr>
        <w:t xml:space="preserve">a </w:t>
      </w:r>
      <w:r w:rsidR="000C626D" w:rsidRPr="000C40D3">
        <w:rPr>
          <w:sz w:val="28"/>
          <w:szCs w:val="28"/>
        </w:rPr>
        <w:t>29th regime</w:t>
      </w:r>
      <w:r w:rsidR="009705FA" w:rsidRPr="000C40D3">
        <w:rPr>
          <w:sz w:val="28"/>
          <w:szCs w:val="28"/>
        </w:rPr>
        <w:t xml:space="preserve"> for life insurance</w:t>
      </w:r>
      <w:r w:rsidRPr="000C40D3">
        <w:rPr>
          <w:sz w:val="28"/>
          <w:szCs w:val="28"/>
        </w:rPr>
        <w:t>, inspired by the work currently under way for a</w:t>
      </w:r>
      <w:r w:rsidR="009705FA" w:rsidRPr="000C40D3">
        <w:rPr>
          <w:sz w:val="28"/>
          <w:szCs w:val="28"/>
        </w:rPr>
        <w:t xml:space="preserve"> 29th regime </w:t>
      </w:r>
      <w:r w:rsidRPr="000C40D3">
        <w:rPr>
          <w:sz w:val="28"/>
          <w:szCs w:val="28"/>
        </w:rPr>
        <w:t xml:space="preserve">for personal </w:t>
      </w:r>
      <w:r w:rsidR="005F6F28" w:rsidRPr="000C40D3">
        <w:rPr>
          <w:sz w:val="28"/>
          <w:szCs w:val="28"/>
        </w:rPr>
        <w:t xml:space="preserve">European </w:t>
      </w:r>
      <w:r w:rsidRPr="000C40D3">
        <w:rPr>
          <w:sz w:val="28"/>
          <w:szCs w:val="28"/>
        </w:rPr>
        <w:t>pension plans</w:t>
      </w:r>
      <w:r w:rsidR="00005267" w:rsidRPr="000C40D3">
        <w:rPr>
          <w:sz w:val="28"/>
          <w:szCs w:val="28"/>
        </w:rPr>
        <w:t xml:space="preserve">, or </w:t>
      </w:r>
      <w:r w:rsidR="009705FA" w:rsidRPr="000C40D3">
        <w:rPr>
          <w:sz w:val="28"/>
          <w:szCs w:val="28"/>
        </w:rPr>
        <w:t>PEPPs</w:t>
      </w:r>
      <w:r w:rsidR="000C626D" w:rsidRPr="000C40D3">
        <w:rPr>
          <w:sz w:val="28"/>
          <w:szCs w:val="28"/>
        </w:rPr>
        <w:t xml:space="preserve">. </w:t>
      </w:r>
    </w:p>
    <w:p w:rsidR="00E5273A" w:rsidRPr="000C40D3" w:rsidRDefault="0024370A" w:rsidP="00E5273A">
      <w:pPr>
        <w:jc w:val="both"/>
        <w:rPr>
          <w:sz w:val="28"/>
          <w:szCs w:val="28"/>
          <w:u w:val="single"/>
        </w:rPr>
      </w:pPr>
      <w:r w:rsidRPr="000C40D3">
        <w:rPr>
          <w:sz w:val="28"/>
          <w:szCs w:val="28"/>
          <w:u w:val="single"/>
        </w:rPr>
        <w:t>Pensions</w:t>
      </w:r>
    </w:p>
    <w:p w:rsidR="0024370A" w:rsidRPr="000C40D3" w:rsidRDefault="0024370A" w:rsidP="0024370A">
      <w:pPr>
        <w:jc w:val="both"/>
        <w:rPr>
          <w:sz w:val="28"/>
          <w:szCs w:val="28"/>
        </w:rPr>
      </w:pPr>
      <w:r w:rsidRPr="000C40D3">
        <w:rPr>
          <w:sz w:val="28"/>
          <w:szCs w:val="28"/>
        </w:rPr>
        <w:t xml:space="preserve">This leads me into the area of pensions. I look forward to the final advice from EIOPA on PEPPs early in the </w:t>
      </w:r>
      <w:proofErr w:type="gramStart"/>
      <w:r w:rsidRPr="000C40D3">
        <w:rPr>
          <w:sz w:val="28"/>
          <w:szCs w:val="28"/>
        </w:rPr>
        <w:t>new year</w:t>
      </w:r>
      <w:proofErr w:type="gramEnd"/>
      <w:r w:rsidRPr="000C40D3">
        <w:rPr>
          <w:sz w:val="28"/>
          <w:szCs w:val="28"/>
        </w:rPr>
        <w:t xml:space="preserve">. Personal pensions can play an important role in Member States </w:t>
      </w:r>
      <w:r w:rsidR="00005267" w:rsidRPr="000C40D3">
        <w:rPr>
          <w:sz w:val="28"/>
          <w:szCs w:val="28"/>
        </w:rPr>
        <w:t xml:space="preserve">that </w:t>
      </w:r>
      <w:r w:rsidRPr="000C40D3">
        <w:rPr>
          <w:sz w:val="28"/>
          <w:szCs w:val="28"/>
        </w:rPr>
        <w:t>choose not to develop their occupational pension sector. It is clear to me that social security pensions will come under increasing pressure, and in my view all Member States will need to establish either occupational pensions or personal pensions or both.</w:t>
      </w:r>
    </w:p>
    <w:p w:rsidR="0024370A" w:rsidRPr="000C40D3" w:rsidRDefault="0024370A" w:rsidP="0024370A">
      <w:pPr>
        <w:jc w:val="both"/>
        <w:rPr>
          <w:sz w:val="28"/>
          <w:szCs w:val="28"/>
        </w:rPr>
      </w:pPr>
      <w:r w:rsidRPr="000C40D3">
        <w:rPr>
          <w:sz w:val="28"/>
          <w:szCs w:val="28"/>
        </w:rPr>
        <w:t xml:space="preserve">Let me also say, I do not share the scepticism of some stakeholders about 29th regimes. Look at the success of UCITS in Europe. We need to plant a seed and allow it to grow. A 29th regime, for personal pensions or life insurance, is not only for cross-border sales. In those Member States </w:t>
      </w:r>
      <w:r w:rsidR="00005267" w:rsidRPr="000C40D3">
        <w:rPr>
          <w:sz w:val="28"/>
          <w:szCs w:val="28"/>
        </w:rPr>
        <w:t xml:space="preserve">that </w:t>
      </w:r>
      <w:r w:rsidRPr="000C40D3">
        <w:rPr>
          <w:sz w:val="28"/>
          <w:szCs w:val="28"/>
        </w:rPr>
        <w:t xml:space="preserve">do not have a well-developed private pension or life insurance sector, it can also form a basis for domestic products. </w:t>
      </w:r>
    </w:p>
    <w:p w:rsidR="00E5273A" w:rsidRPr="000C40D3" w:rsidRDefault="0024370A" w:rsidP="00E5273A">
      <w:pPr>
        <w:jc w:val="both"/>
        <w:rPr>
          <w:sz w:val="28"/>
          <w:szCs w:val="28"/>
        </w:rPr>
      </w:pPr>
      <w:r w:rsidRPr="000C40D3">
        <w:rPr>
          <w:sz w:val="28"/>
          <w:szCs w:val="28"/>
        </w:rPr>
        <w:t>O</w:t>
      </w:r>
      <w:r w:rsidR="00E5273A" w:rsidRPr="000C40D3">
        <w:rPr>
          <w:sz w:val="28"/>
          <w:szCs w:val="28"/>
        </w:rPr>
        <w:t>ccupational pension</w:t>
      </w:r>
      <w:r w:rsidRPr="000C40D3">
        <w:rPr>
          <w:sz w:val="28"/>
          <w:szCs w:val="28"/>
        </w:rPr>
        <w:t xml:space="preserve"> fund</w:t>
      </w:r>
      <w:r w:rsidR="00E5273A" w:rsidRPr="000C40D3">
        <w:rPr>
          <w:sz w:val="28"/>
          <w:szCs w:val="28"/>
        </w:rPr>
        <w:t xml:space="preserve">s </w:t>
      </w:r>
      <w:r w:rsidR="00005267" w:rsidRPr="000C40D3">
        <w:rPr>
          <w:sz w:val="28"/>
          <w:szCs w:val="28"/>
        </w:rPr>
        <w:t>-</w:t>
      </w:r>
      <w:r w:rsidR="00257124" w:rsidRPr="000C40D3">
        <w:rPr>
          <w:sz w:val="28"/>
          <w:szCs w:val="28"/>
        </w:rPr>
        <w:t>IORPs</w:t>
      </w:r>
      <w:r w:rsidR="00005267" w:rsidRPr="000C40D3">
        <w:rPr>
          <w:sz w:val="28"/>
          <w:szCs w:val="28"/>
        </w:rPr>
        <w:t>-</w:t>
      </w:r>
      <w:r w:rsidR="005F6F28" w:rsidRPr="000C40D3">
        <w:rPr>
          <w:sz w:val="28"/>
          <w:szCs w:val="28"/>
        </w:rPr>
        <w:t xml:space="preserve"> </w:t>
      </w:r>
      <w:r w:rsidR="00E5273A" w:rsidRPr="000C40D3">
        <w:rPr>
          <w:sz w:val="28"/>
          <w:szCs w:val="28"/>
        </w:rPr>
        <w:t xml:space="preserve">are also </w:t>
      </w:r>
      <w:r w:rsidRPr="000C40D3">
        <w:rPr>
          <w:sz w:val="28"/>
          <w:szCs w:val="28"/>
        </w:rPr>
        <w:t>very</w:t>
      </w:r>
      <w:r w:rsidR="00E5273A" w:rsidRPr="000C40D3">
        <w:rPr>
          <w:sz w:val="28"/>
          <w:szCs w:val="28"/>
        </w:rPr>
        <w:t xml:space="preserve"> important for consumers</w:t>
      </w:r>
      <w:r w:rsidR="00005267" w:rsidRPr="000C40D3">
        <w:rPr>
          <w:sz w:val="28"/>
          <w:szCs w:val="28"/>
        </w:rPr>
        <w:t>. They have the</w:t>
      </w:r>
      <w:r w:rsidR="00257124" w:rsidRPr="000C40D3">
        <w:rPr>
          <w:sz w:val="28"/>
          <w:szCs w:val="28"/>
        </w:rPr>
        <w:t xml:space="preserve"> potential to be part of the solution of the EU's longevity issues and </w:t>
      </w:r>
      <w:r w:rsidR="00005267" w:rsidRPr="000C40D3">
        <w:rPr>
          <w:sz w:val="28"/>
          <w:szCs w:val="28"/>
        </w:rPr>
        <w:t xml:space="preserve">could help fill </w:t>
      </w:r>
      <w:r w:rsidR="00257124" w:rsidRPr="000C40D3">
        <w:rPr>
          <w:sz w:val="28"/>
          <w:szCs w:val="28"/>
        </w:rPr>
        <w:t>its investment gap. Pension funds are also huge institutional investors, and thus contribute to growth. We want to promote more funded occupational pension schemes across the EU, and better cross-border provision.</w:t>
      </w:r>
      <w:r w:rsidRPr="000C40D3">
        <w:rPr>
          <w:sz w:val="28"/>
          <w:szCs w:val="28"/>
        </w:rPr>
        <w:t xml:space="preserve"> We must act to promote funded pension schemes in the EU, especially in those countries where they are not well developed. I am sure that IORPs will become important outside the group of seven or eight Member States where they currently play a major role in retirement provision.</w:t>
      </w:r>
    </w:p>
    <w:p w:rsidR="00E5273A" w:rsidRPr="000C40D3" w:rsidRDefault="00257124" w:rsidP="00257124">
      <w:pPr>
        <w:jc w:val="both"/>
        <w:rPr>
          <w:sz w:val="28"/>
          <w:szCs w:val="28"/>
        </w:rPr>
      </w:pPr>
      <w:r w:rsidRPr="000C40D3">
        <w:rPr>
          <w:sz w:val="28"/>
          <w:szCs w:val="28"/>
        </w:rPr>
        <w:t xml:space="preserve">Of course, there is a proposal on occupational pensions on the table of the European Parliament and Council, known as IORP2. We are looking forward to progress on that, with </w:t>
      </w:r>
      <w:r w:rsidR="00E5273A" w:rsidRPr="000C40D3">
        <w:rPr>
          <w:sz w:val="28"/>
          <w:szCs w:val="28"/>
        </w:rPr>
        <w:t xml:space="preserve">the adoption of a </w:t>
      </w:r>
      <w:r w:rsidRPr="000C40D3">
        <w:rPr>
          <w:sz w:val="28"/>
          <w:szCs w:val="28"/>
        </w:rPr>
        <w:t xml:space="preserve">Parliamentary </w:t>
      </w:r>
      <w:r w:rsidR="00E5273A" w:rsidRPr="000C40D3">
        <w:rPr>
          <w:sz w:val="28"/>
          <w:szCs w:val="28"/>
        </w:rPr>
        <w:t>report in December.</w:t>
      </w:r>
    </w:p>
    <w:p w:rsidR="0024370A" w:rsidRPr="000C40D3" w:rsidRDefault="004957E0" w:rsidP="0024370A">
      <w:pPr>
        <w:jc w:val="both"/>
        <w:rPr>
          <w:sz w:val="28"/>
          <w:szCs w:val="28"/>
        </w:rPr>
      </w:pPr>
      <w:r w:rsidRPr="000C40D3">
        <w:rPr>
          <w:sz w:val="28"/>
          <w:szCs w:val="28"/>
        </w:rPr>
        <w:lastRenderedPageBreak/>
        <w:t>The IORP2 directive is intended to form a basis for common governance and transparency standards for occupational pensions across Europe</w:t>
      </w:r>
      <w:r w:rsidR="00005267" w:rsidRPr="000C40D3">
        <w:rPr>
          <w:sz w:val="28"/>
          <w:szCs w:val="28"/>
        </w:rPr>
        <w:t>. It should stand as</w:t>
      </w:r>
      <w:r w:rsidRPr="000C40D3">
        <w:rPr>
          <w:sz w:val="28"/>
          <w:szCs w:val="28"/>
        </w:rPr>
        <w:t xml:space="preserve"> a model for those Member States </w:t>
      </w:r>
      <w:r w:rsidR="00005267" w:rsidRPr="000C40D3">
        <w:rPr>
          <w:sz w:val="28"/>
          <w:szCs w:val="28"/>
        </w:rPr>
        <w:t>that would like</w:t>
      </w:r>
      <w:r w:rsidRPr="000C40D3">
        <w:rPr>
          <w:sz w:val="28"/>
          <w:szCs w:val="28"/>
        </w:rPr>
        <w:t xml:space="preserve"> to launch an occupational pensions sector domestically. It also aims to </w:t>
      </w:r>
      <w:r w:rsidR="00005267" w:rsidRPr="000C40D3">
        <w:rPr>
          <w:sz w:val="28"/>
          <w:szCs w:val="28"/>
        </w:rPr>
        <w:t xml:space="preserve">boost </w:t>
      </w:r>
      <w:r w:rsidRPr="000C40D3">
        <w:rPr>
          <w:sz w:val="28"/>
          <w:szCs w:val="28"/>
        </w:rPr>
        <w:t>the currently very modest level of cross-border provision. But the question of solvency rules is recognised as being for Member States and not for harmonisation.</w:t>
      </w:r>
      <w:r w:rsidR="0024370A" w:rsidRPr="000C40D3">
        <w:rPr>
          <w:sz w:val="28"/>
          <w:szCs w:val="28"/>
        </w:rPr>
        <w:t xml:space="preserve"> </w:t>
      </w:r>
    </w:p>
    <w:p w:rsidR="00476CC2" w:rsidRPr="000C40D3" w:rsidRDefault="00476CC2" w:rsidP="00CA34F0">
      <w:pPr>
        <w:jc w:val="both"/>
        <w:rPr>
          <w:sz w:val="28"/>
          <w:szCs w:val="28"/>
          <w:u w:val="single"/>
        </w:rPr>
      </w:pPr>
      <w:r w:rsidRPr="000C40D3">
        <w:rPr>
          <w:sz w:val="28"/>
          <w:szCs w:val="28"/>
          <w:u w:val="single"/>
        </w:rPr>
        <w:t>International</w:t>
      </w:r>
    </w:p>
    <w:p w:rsidR="002259A6" w:rsidRPr="000C40D3" w:rsidRDefault="002259A6" w:rsidP="00CA34F0">
      <w:pPr>
        <w:jc w:val="both"/>
        <w:rPr>
          <w:sz w:val="28"/>
          <w:szCs w:val="28"/>
        </w:rPr>
      </w:pPr>
      <w:r w:rsidRPr="000C40D3">
        <w:rPr>
          <w:sz w:val="28"/>
          <w:szCs w:val="28"/>
        </w:rPr>
        <w:t xml:space="preserve">The international aspect of insurance regulation is becoming more and more prominent, </w:t>
      </w:r>
      <w:r w:rsidR="00005267" w:rsidRPr="000C40D3">
        <w:rPr>
          <w:sz w:val="28"/>
          <w:szCs w:val="28"/>
        </w:rPr>
        <w:t xml:space="preserve">with the </w:t>
      </w:r>
      <w:r w:rsidRPr="000C40D3">
        <w:rPr>
          <w:sz w:val="28"/>
          <w:szCs w:val="28"/>
        </w:rPr>
        <w:t xml:space="preserve">IAIS and FSB working on standards, firstly for globally systemically important insurers </w:t>
      </w:r>
      <w:r w:rsidR="00005267" w:rsidRPr="000C40D3">
        <w:rPr>
          <w:sz w:val="28"/>
          <w:szCs w:val="28"/>
        </w:rPr>
        <w:t>-</w:t>
      </w:r>
      <w:r w:rsidRPr="000C40D3">
        <w:rPr>
          <w:sz w:val="28"/>
          <w:szCs w:val="28"/>
        </w:rPr>
        <w:t>G-SIIs</w:t>
      </w:r>
      <w:r w:rsidR="00005267" w:rsidRPr="000C40D3">
        <w:rPr>
          <w:sz w:val="28"/>
          <w:szCs w:val="28"/>
        </w:rPr>
        <w:t>-</w:t>
      </w:r>
      <w:r w:rsidRPr="000C40D3">
        <w:rPr>
          <w:sz w:val="28"/>
          <w:szCs w:val="28"/>
        </w:rPr>
        <w:t>, and in a later timescale, for all internationally active insurance groups.</w:t>
      </w:r>
    </w:p>
    <w:p w:rsidR="00476CC2" w:rsidRPr="000C40D3" w:rsidRDefault="002259A6" w:rsidP="002259A6">
      <w:pPr>
        <w:jc w:val="both"/>
        <w:rPr>
          <w:sz w:val="28"/>
          <w:szCs w:val="28"/>
        </w:rPr>
      </w:pPr>
      <w:r w:rsidRPr="000C40D3">
        <w:rPr>
          <w:sz w:val="28"/>
          <w:szCs w:val="28"/>
        </w:rPr>
        <w:t xml:space="preserve">For the G-SIIs, the </w:t>
      </w:r>
      <w:r w:rsidR="00476CC2" w:rsidRPr="000C40D3">
        <w:rPr>
          <w:sz w:val="28"/>
          <w:szCs w:val="28"/>
        </w:rPr>
        <w:t>G20 has just adopted the IAIS/FSB proposal on H</w:t>
      </w:r>
      <w:r w:rsidRPr="000C40D3">
        <w:rPr>
          <w:sz w:val="28"/>
          <w:szCs w:val="28"/>
        </w:rPr>
        <w:t xml:space="preserve">igher </w:t>
      </w:r>
      <w:r w:rsidR="00476CC2" w:rsidRPr="000C40D3">
        <w:rPr>
          <w:sz w:val="28"/>
          <w:szCs w:val="28"/>
        </w:rPr>
        <w:t>L</w:t>
      </w:r>
      <w:r w:rsidRPr="000C40D3">
        <w:rPr>
          <w:sz w:val="28"/>
          <w:szCs w:val="28"/>
        </w:rPr>
        <w:t xml:space="preserve">oss </w:t>
      </w:r>
      <w:r w:rsidR="00476CC2" w:rsidRPr="000C40D3">
        <w:rPr>
          <w:sz w:val="28"/>
          <w:szCs w:val="28"/>
        </w:rPr>
        <w:t>A</w:t>
      </w:r>
      <w:r w:rsidRPr="000C40D3">
        <w:rPr>
          <w:sz w:val="28"/>
          <w:szCs w:val="28"/>
        </w:rPr>
        <w:t>bsorbency</w:t>
      </w:r>
      <w:r w:rsidR="00476CC2" w:rsidRPr="000C40D3">
        <w:rPr>
          <w:sz w:val="28"/>
          <w:szCs w:val="28"/>
        </w:rPr>
        <w:t xml:space="preserve"> for G-SIIs. This is </w:t>
      </w:r>
      <w:r w:rsidRPr="000C40D3">
        <w:rPr>
          <w:sz w:val="28"/>
          <w:szCs w:val="28"/>
        </w:rPr>
        <w:t>not</w:t>
      </w:r>
      <w:r w:rsidR="00476CC2" w:rsidRPr="000C40D3">
        <w:rPr>
          <w:sz w:val="28"/>
          <w:szCs w:val="28"/>
        </w:rPr>
        <w:t xml:space="preserve"> due to be applied before 2019, and by that time it will have been revised at least once. We will </w:t>
      </w:r>
      <w:r w:rsidR="00005267" w:rsidRPr="000C40D3">
        <w:rPr>
          <w:sz w:val="28"/>
          <w:szCs w:val="28"/>
        </w:rPr>
        <w:t>assess how</w:t>
      </w:r>
      <w:r w:rsidR="00476CC2" w:rsidRPr="000C40D3">
        <w:rPr>
          <w:sz w:val="28"/>
          <w:szCs w:val="28"/>
        </w:rPr>
        <w:t xml:space="preserve"> best </w:t>
      </w:r>
      <w:r w:rsidR="00005267" w:rsidRPr="000C40D3">
        <w:rPr>
          <w:sz w:val="28"/>
          <w:szCs w:val="28"/>
        </w:rPr>
        <w:t xml:space="preserve">to </w:t>
      </w:r>
      <w:r w:rsidR="00476CC2" w:rsidRPr="000C40D3">
        <w:rPr>
          <w:sz w:val="28"/>
          <w:szCs w:val="28"/>
        </w:rPr>
        <w:t xml:space="preserve">approach </w:t>
      </w:r>
      <w:r w:rsidR="00005267" w:rsidRPr="000C40D3">
        <w:rPr>
          <w:sz w:val="28"/>
          <w:szCs w:val="28"/>
        </w:rPr>
        <w:t>the</w:t>
      </w:r>
      <w:r w:rsidR="00476CC2" w:rsidRPr="000C40D3">
        <w:rPr>
          <w:sz w:val="28"/>
          <w:szCs w:val="28"/>
        </w:rPr>
        <w:t xml:space="preserve"> application</w:t>
      </w:r>
      <w:r w:rsidR="00005267" w:rsidRPr="000C40D3">
        <w:rPr>
          <w:sz w:val="28"/>
          <w:szCs w:val="28"/>
        </w:rPr>
        <w:t xml:space="preserve"> of this proposal</w:t>
      </w:r>
      <w:r w:rsidR="00476CC2" w:rsidRPr="000C40D3">
        <w:rPr>
          <w:sz w:val="28"/>
          <w:szCs w:val="28"/>
        </w:rPr>
        <w:t xml:space="preserve"> in the EU</w:t>
      </w:r>
      <w:r w:rsidR="00005267" w:rsidRPr="000C40D3">
        <w:rPr>
          <w:sz w:val="28"/>
          <w:szCs w:val="28"/>
        </w:rPr>
        <w:t>. We will do so</w:t>
      </w:r>
      <w:r w:rsidR="00476CC2" w:rsidRPr="000C40D3">
        <w:rPr>
          <w:sz w:val="28"/>
          <w:szCs w:val="28"/>
        </w:rPr>
        <w:t xml:space="preserve"> in the </w:t>
      </w:r>
      <w:r w:rsidRPr="000C40D3">
        <w:rPr>
          <w:sz w:val="28"/>
          <w:szCs w:val="28"/>
        </w:rPr>
        <w:t xml:space="preserve">review of the Solvency II standard formula, which is due by </w:t>
      </w:r>
      <w:r w:rsidR="00476CC2" w:rsidRPr="000C40D3">
        <w:rPr>
          <w:sz w:val="28"/>
          <w:szCs w:val="28"/>
        </w:rPr>
        <w:t>2018</w:t>
      </w:r>
      <w:r w:rsidRPr="000C40D3">
        <w:rPr>
          <w:sz w:val="28"/>
          <w:szCs w:val="28"/>
        </w:rPr>
        <w:t xml:space="preserve"> at the latest</w:t>
      </w:r>
      <w:r w:rsidR="00476CC2" w:rsidRPr="000C40D3">
        <w:rPr>
          <w:sz w:val="28"/>
          <w:szCs w:val="28"/>
        </w:rPr>
        <w:t>.</w:t>
      </w:r>
    </w:p>
    <w:p w:rsidR="00476CC2" w:rsidRPr="000C40D3" w:rsidRDefault="00005267" w:rsidP="002259A6">
      <w:pPr>
        <w:jc w:val="both"/>
        <w:rPr>
          <w:sz w:val="28"/>
          <w:szCs w:val="28"/>
        </w:rPr>
      </w:pPr>
      <w:r w:rsidRPr="000C40D3">
        <w:rPr>
          <w:sz w:val="28"/>
          <w:szCs w:val="28"/>
        </w:rPr>
        <w:t xml:space="preserve">The </w:t>
      </w:r>
      <w:r w:rsidR="00476CC2" w:rsidRPr="000C40D3">
        <w:rPr>
          <w:sz w:val="28"/>
          <w:szCs w:val="28"/>
        </w:rPr>
        <w:t xml:space="preserve">IAIS is also reviewing </w:t>
      </w:r>
      <w:r w:rsidRPr="000C40D3">
        <w:rPr>
          <w:sz w:val="28"/>
          <w:szCs w:val="28"/>
        </w:rPr>
        <w:t xml:space="preserve">how it designates firms as </w:t>
      </w:r>
      <w:r w:rsidR="00476CC2" w:rsidRPr="000C40D3">
        <w:rPr>
          <w:sz w:val="28"/>
          <w:szCs w:val="28"/>
        </w:rPr>
        <w:t>G-SII</w:t>
      </w:r>
      <w:r w:rsidRPr="000C40D3">
        <w:rPr>
          <w:sz w:val="28"/>
          <w:szCs w:val="28"/>
        </w:rPr>
        <w:t>s</w:t>
      </w:r>
      <w:r w:rsidR="00476CC2" w:rsidRPr="000C40D3">
        <w:rPr>
          <w:sz w:val="28"/>
          <w:szCs w:val="28"/>
        </w:rPr>
        <w:t>. We think that more careful thought is needed on what constitutes systemic risk in the insurance sector, especially global systemic risk. There is not yet consensus on this.</w:t>
      </w:r>
      <w:r w:rsidR="00E73C1D" w:rsidRPr="000C40D3">
        <w:rPr>
          <w:sz w:val="28"/>
          <w:szCs w:val="28"/>
        </w:rPr>
        <w:t xml:space="preserve"> I hope that will come before 2019. </w:t>
      </w:r>
      <w:r w:rsidR="002259A6" w:rsidRPr="000C40D3">
        <w:rPr>
          <w:sz w:val="28"/>
          <w:szCs w:val="28"/>
        </w:rPr>
        <w:t xml:space="preserve">I welcome contributions by the European Systemic Risk Board and others on this question. </w:t>
      </w:r>
      <w:r w:rsidR="00E73C1D" w:rsidRPr="000C40D3">
        <w:rPr>
          <w:sz w:val="28"/>
          <w:szCs w:val="28"/>
        </w:rPr>
        <w:t xml:space="preserve">We cannot impose extra capital requirements on certain insurers </w:t>
      </w:r>
      <w:r w:rsidRPr="000C40D3">
        <w:rPr>
          <w:sz w:val="28"/>
          <w:szCs w:val="28"/>
        </w:rPr>
        <w:t xml:space="preserve">unless we have </w:t>
      </w:r>
      <w:r w:rsidR="00E73C1D" w:rsidRPr="000C40D3">
        <w:rPr>
          <w:sz w:val="28"/>
          <w:szCs w:val="28"/>
        </w:rPr>
        <w:t xml:space="preserve">a very robust empirical </w:t>
      </w:r>
      <w:proofErr w:type="gramStart"/>
      <w:r w:rsidR="00E73C1D" w:rsidRPr="000C40D3">
        <w:rPr>
          <w:sz w:val="28"/>
          <w:szCs w:val="28"/>
        </w:rPr>
        <w:t>basis</w:t>
      </w:r>
      <w:r w:rsidRPr="000C40D3">
        <w:rPr>
          <w:sz w:val="28"/>
          <w:szCs w:val="28"/>
        </w:rPr>
        <w:t> ;</w:t>
      </w:r>
      <w:proofErr w:type="gramEnd"/>
      <w:r w:rsidR="009705FA" w:rsidRPr="000C40D3">
        <w:rPr>
          <w:sz w:val="28"/>
          <w:szCs w:val="28"/>
        </w:rPr>
        <w:t xml:space="preserve"> </w:t>
      </w:r>
      <w:r w:rsidRPr="000C40D3">
        <w:rPr>
          <w:sz w:val="28"/>
          <w:szCs w:val="28"/>
        </w:rPr>
        <w:t xml:space="preserve">there is </w:t>
      </w:r>
      <w:r w:rsidR="009705FA" w:rsidRPr="000C40D3">
        <w:rPr>
          <w:sz w:val="28"/>
          <w:szCs w:val="28"/>
        </w:rPr>
        <w:t>consensu</w:t>
      </w:r>
      <w:r w:rsidR="00171520" w:rsidRPr="000C40D3">
        <w:rPr>
          <w:sz w:val="28"/>
          <w:szCs w:val="28"/>
        </w:rPr>
        <w:t>s</w:t>
      </w:r>
      <w:r w:rsidR="009705FA" w:rsidRPr="000C40D3">
        <w:rPr>
          <w:sz w:val="28"/>
          <w:szCs w:val="28"/>
        </w:rPr>
        <w:t xml:space="preserve"> about why we are doing it</w:t>
      </w:r>
      <w:r w:rsidRPr="000C40D3">
        <w:rPr>
          <w:sz w:val="28"/>
          <w:szCs w:val="28"/>
        </w:rPr>
        <w:t> ;</w:t>
      </w:r>
      <w:r w:rsidR="009705FA" w:rsidRPr="000C40D3">
        <w:rPr>
          <w:sz w:val="28"/>
          <w:szCs w:val="28"/>
        </w:rPr>
        <w:t xml:space="preserve"> and </w:t>
      </w:r>
      <w:r w:rsidRPr="000C40D3">
        <w:rPr>
          <w:sz w:val="28"/>
          <w:szCs w:val="28"/>
        </w:rPr>
        <w:t xml:space="preserve">we are clear on </w:t>
      </w:r>
      <w:r w:rsidR="009705FA" w:rsidRPr="000C40D3">
        <w:rPr>
          <w:sz w:val="28"/>
          <w:szCs w:val="28"/>
        </w:rPr>
        <w:t>why this set of insurers is chosen</w:t>
      </w:r>
      <w:r w:rsidR="00E73C1D" w:rsidRPr="000C40D3">
        <w:rPr>
          <w:sz w:val="28"/>
          <w:szCs w:val="28"/>
        </w:rPr>
        <w:t>.</w:t>
      </w:r>
    </w:p>
    <w:p w:rsidR="00E73C1D" w:rsidRPr="000C40D3" w:rsidRDefault="00005267" w:rsidP="00E5273A">
      <w:pPr>
        <w:jc w:val="both"/>
        <w:rPr>
          <w:sz w:val="28"/>
          <w:szCs w:val="28"/>
        </w:rPr>
      </w:pPr>
      <w:r w:rsidRPr="000C40D3">
        <w:rPr>
          <w:sz w:val="28"/>
          <w:szCs w:val="28"/>
        </w:rPr>
        <w:t>Designating non-EU countries as</w:t>
      </w:r>
      <w:r w:rsidR="002259A6" w:rsidRPr="000C40D3">
        <w:rPr>
          <w:sz w:val="28"/>
          <w:szCs w:val="28"/>
        </w:rPr>
        <w:t xml:space="preserve"> equivale</w:t>
      </w:r>
      <w:r w:rsidRPr="000C40D3">
        <w:rPr>
          <w:sz w:val="28"/>
          <w:szCs w:val="28"/>
        </w:rPr>
        <w:t>nt</w:t>
      </w:r>
      <w:r w:rsidR="002259A6" w:rsidRPr="000C40D3">
        <w:rPr>
          <w:sz w:val="28"/>
          <w:szCs w:val="28"/>
        </w:rPr>
        <w:t xml:space="preserve"> is another important international</w:t>
      </w:r>
      <w:r w:rsidR="00E5273A" w:rsidRPr="000C40D3">
        <w:rPr>
          <w:sz w:val="28"/>
          <w:szCs w:val="28"/>
        </w:rPr>
        <w:t xml:space="preserve"> aspect of Solvency II. </w:t>
      </w:r>
      <w:r w:rsidR="00E73C1D" w:rsidRPr="000C40D3">
        <w:rPr>
          <w:sz w:val="28"/>
          <w:szCs w:val="28"/>
        </w:rPr>
        <w:t xml:space="preserve">The Commission </w:t>
      </w:r>
      <w:r w:rsidR="00D058FE" w:rsidRPr="000C40D3">
        <w:rPr>
          <w:sz w:val="28"/>
          <w:szCs w:val="28"/>
        </w:rPr>
        <w:t>is in the process of</w:t>
      </w:r>
      <w:r w:rsidR="00E73C1D" w:rsidRPr="000C40D3">
        <w:rPr>
          <w:sz w:val="28"/>
          <w:szCs w:val="28"/>
        </w:rPr>
        <w:t xml:space="preserve"> adopt</w:t>
      </w:r>
      <w:r w:rsidR="00D058FE" w:rsidRPr="000C40D3">
        <w:rPr>
          <w:sz w:val="28"/>
          <w:szCs w:val="28"/>
        </w:rPr>
        <w:t>ing</w:t>
      </w:r>
      <w:r w:rsidR="00E73C1D" w:rsidRPr="000C40D3">
        <w:rPr>
          <w:sz w:val="28"/>
          <w:szCs w:val="28"/>
        </w:rPr>
        <w:t xml:space="preserve"> two more equivalence decisions, </w:t>
      </w:r>
      <w:r w:rsidR="00E5273A" w:rsidRPr="000C40D3">
        <w:rPr>
          <w:sz w:val="28"/>
          <w:szCs w:val="28"/>
        </w:rPr>
        <w:t xml:space="preserve">concerning Bermuda and Japan, </w:t>
      </w:r>
      <w:r w:rsidR="00E73C1D" w:rsidRPr="000C40D3">
        <w:rPr>
          <w:sz w:val="28"/>
          <w:szCs w:val="28"/>
        </w:rPr>
        <w:t xml:space="preserve">to add to those adopted in June. The June decisions </w:t>
      </w:r>
      <w:r w:rsidR="00E5273A" w:rsidRPr="000C40D3">
        <w:rPr>
          <w:sz w:val="28"/>
          <w:szCs w:val="28"/>
        </w:rPr>
        <w:t xml:space="preserve">on </w:t>
      </w:r>
      <w:r w:rsidRPr="000C40D3">
        <w:rPr>
          <w:sz w:val="28"/>
          <w:szCs w:val="28"/>
        </w:rPr>
        <w:t xml:space="preserve">focused the </w:t>
      </w:r>
      <w:r w:rsidR="00E5273A" w:rsidRPr="000C40D3">
        <w:rPr>
          <w:sz w:val="28"/>
          <w:szCs w:val="28"/>
        </w:rPr>
        <w:t>group capital requirement of EU groups active in Australia</w:t>
      </w:r>
      <w:r w:rsidRPr="000C40D3">
        <w:rPr>
          <w:sz w:val="28"/>
          <w:szCs w:val="28"/>
        </w:rPr>
        <w:t>,</w:t>
      </w:r>
      <w:r w:rsidR="00E5273A" w:rsidRPr="000C40D3">
        <w:rPr>
          <w:sz w:val="28"/>
          <w:szCs w:val="28"/>
        </w:rPr>
        <w:t xml:space="preserve"> Bermuda, Brazil, Canada</w:t>
      </w:r>
      <w:r w:rsidRPr="000C40D3">
        <w:rPr>
          <w:sz w:val="28"/>
          <w:szCs w:val="28"/>
        </w:rPr>
        <w:t>,</w:t>
      </w:r>
      <w:r w:rsidR="00E5273A" w:rsidRPr="000C40D3">
        <w:rPr>
          <w:sz w:val="28"/>
          <w:szCs w:val="28"/>
        </w:rPr>
        <w:t xml:space="preserve"> Mexico and the USA</w:t>
      </w:r>
      <w:r w:rsidRPr="000C40D3">
        <w:rPr>
          <w:sz w:val="28"/>
          <w:szCs w:val="28"/>
        </w:rPr>
        <w:t>. They</w:t>
      </w:r>
      <w:r w:rsidR="00E5273A" w:rsidRPr="000C40D3">
        <w:rPr>
          <w:sz w:val="28"/>
          <w:szCs w:val="28"/>
        </w:rPr>
        <w:t xml:space="preserve"> </w:t>
      </w:r>
      <w:r w:rsidR="00E73C1D" w:rsidRPr="000C40D3">
        <w:rPr>
          <w:sz w:val="28"/>
          <w:szCs w:val="28"/>
        </w:rPr>
        <w:t xml:space="preserve">will be published in the </w:t>
      </w:r>
      <w:r w:rsidR="00E5273A" w:rsidRPr="000C40D3">
        <w:rPr>
          <w:sz w:val="28"/>
          <w:szCs w:val="28"/>
        </w:rPr>
        <w:t>EU's Official Journal</w:t>
      </w:r>
      <w:r w:rsidR="00E73C1D" w:rsidRPr="000C40D3">
        <w:rPr>
          <w:sz w:val="28"/>
          <w:szCs w:val="28"/>
        </w:rPr>
        <w:t xml:space="preserve"> in December, following </w:t>
      </w:r>
      <w:r w:rsidR="00E5273A" w:rsidRPr="000C40D3">
        <w:rPr>
          <w:sz w:val="28"/>
          <w:szCs w:val="28"/>
        </w:rPr>
        <w:t xml:space="preserve">the end of the </w:t>
      </w:r>
      <w:r w:rsidR="00FD6A4A" w:rsidRPr="000C40D3">
        <w:rPr>
          <w:sz w:val="28"/>
          <w:szCs w:val="28"/>
        </w:rPr>
        <w:t>scrutiny</w:t>
      </w:r>
      <w:r w:rsidR="00E5273A" w:rsidRPr="000C40D3">
        <w:rPr>
          <w:sz w:val="28"/>
          <w:szCs w:val="28"/>
        </w:rPr>
        <w:t xml:space="preserve"> period of the European Parliament and the Council</w:t>
      </w:r>
      <w:r w:rsidRPr="000C40D3">
        <w:rPr>
          <w:sz w:val="28"/>
          <w:szCs w:val="28"/>
        </w:rPr>
        <w:t>. Th</w:t>
      </w:r>
      <w:r w:rsidR="00FD6A4A" w:rsidRPr="000C40D3">
        <w:rPr>
          <w:sz w:val="28"/>
          <w:szCs w:val="28"/>
        </w:rPr>
        <w:t xml:space="preserve">e </w:t>
      </w:r>
      <w:r w:rsidR="00E5273A" w:rsidRPr="000C40D3">
        <w:rPr>
          <w:sz w:val="28"/>
          <w:szCs w:val="28"/>
        </w:rPr>
        <w:t xml:space="preserve">two </w:t>
      </w:r>
      <w:r w:rsidR="00FD6A4A" w:rsidRPr="000C40D3">
        <w:rPr>
          <w:sz w:val="28"/>
          <w:szCs w:val="28"/>
        </w:rPr>
        <w:t xml:space="preserve">decisions </w:t>
      </w:r>
      <w:r w:rsidR="00E5273A" w:rsidRPr="000C40D3">
        <w:rPr>
          <w:sz w:val="28"/>
          <w:szCs w:val="28"/>
        </w:rPr>
        <w:t xml:space="preserve">just adopted will be published </w:t>
      </w:r>
      <w:r w:rsidR="00FD6A4A" w:rsidRPr="000C40D3">
        <w:rPr>
          <w:sz w:val="28"/>
          <w:szCs w:val="28"/>
        </w:rPr>
        <w:t xml:space="preserve">following </w:t>
      </w:r>
      <w:r w:rsidR="00E5273A" w:rsidRPr="000C40D3">
        <w:rPr>
          <w:sz w:val="28"/>
          <w:szCs w:val="28"/>
        </w:rPr>
        <w:t xml:space="preserve">the end of </w:t>
      </w:r>
      <w:r w:rsidR="00FD6A4A" w:rsidRPr="000C40D3">
        <w:rPr>
          <w:sz w:val="28"/>
          <w:szCs w:val="28"/>
        </w:rPr>
        <w:t>scrutiny</w:t>
      </w:r>
      <w:r w:rsidR="00E5273A" w:rsidRPr="000C40D3">
        <w:rPr>
          <w:sz w:val="28"/>
          <w:szCs w:val="28"/>
        </w:rPr>
        <w:t>, in a few months</w:t>
      </w:r>
      <w:r w:rsidR="00FD6A4A" w:rsidRPr="000C40D3">
        <w:rPr>
          <w:sz w:val="28"/>
          <w:szCs w:val="28"/>
        </w:rPr>
        <w:t>.</w:t>
      </w:r>
    </w:p>
    <w:p w:rsidR="00E73C1D" w:rsidRPr="000C40D3" w:rsidRDefault="00E5273A" w:rsidP="00E5273A">
      <w:pPr>
        <w:jc w:val="both"/>
        <w:rPr>
          <w:sz w:val="28"/>
          <w:szCs w:val="28"/>
        </w:rPr>
      </w:pPr>
      <w:r w:rsidRPr="000C40D3">
        <w:rPr>
          <w:sz w:val="28"/>
          <w:szCs w:val="28"/>
        </w:rPr>
        <w:lastRenderedPageBreak/>
        <w:t>I</w:t>
      </w:r>
      <w:r w:rsidR="00E73C1D" w:rsidRPr="000C40D3">
        <w:rPr>
          <w:sz w:val="28"/>
          <w:szCs w:val="28"/>
        </w:rPr>
        <w:t xml:space="preserve"> </w:t>
      </w:r>
      <w:r w:rsidR="00005267" w:rsidRPr="000C40D3">
        <w:rPr>
          <w:sz w:val="28"/>
          <w:szCs w:val="28"/>
        </w:rPr>
        <w:t>don’t think that</w:t>
      </w:r>
      <w:r w:rsidR="00E73C1D" w:rsidRPr="000C40D3">
        <w:rPr>
          <w:sz w:val="28"/>
          <w:szCs w:val="28"/>
        </w:rPr>
        <w:t xml:space="preserve"> national supervisors </w:t>
      </w:r>
      <w:r w:rsidR="00005267" w:rsidRPr="000C40D3">
        <w:rPr>
          <w:sz w:val="28"/>
          <w:szCs w:val="28"/>
        </w:rPr>
        <w:t>should</w:t>
      </w:r>
      <w:r w:rsidR="00E73C1D" w:rsidRPr="000C40D3">
        <w:rPr>
          <w:sz w:val="28"/>
          <w:szCs w:val="28"/>
        </w:rPr>
        <w:t xml:space="preserve"> actively treat </w:t>
      </w:r>
      <w:r w:rsidR="00005267" w:rsidRPr="000C40D3">
        <w:rPr>
          <w:sz w:val="28"/>
          <w:szCs w:val="28"/>
        </w:rPr>
        <w:t xml:space="preserve">non-EU </w:t>
      </w:r>
      <w:r w:rsidR="00E73C1D" w:rsidRPr="000C40D3">
        <w:rPr>
          <w:sz w:val="28"/>
          <w:szCs w:val="28"/>
        </w:rPr>
        <w:t xml:space="preserve">countries as non-equivalent, if there is a positive </w:t>
      </w:r>
      <w:r w:rsidRPr="000C40D3">
        <w:rPr>
          <w:sz w:val="28"/>
          <w:szCs w:val="28"/>
        </w:rPr>
        <w:t xml:space="preserve">Commission </w:t>
      </w:r>
      <w:r w:rsidR="00E73C1D" w:rsidRPr="000C40D3">
        <w:rPr>
          <w:sz w:val="28"/>
          <w:szCs w:val="28"/>
        </w:rPr>
        <w:t>equivalence decision pending in EP and Council scrutiny. They should exercise forbearance in this respect</w:t>
      </w:r>
      <w:r w:rsidRPr="000C40D3">
        <w:rPr>
          <w:sz w:val="28"/>
          <w:szCs w:val="28"/>
        </w:rPr>
        <w:t>, in the Commission's view</w:t>
      </w:r>
      <w:r w:rsidR="00E73C1D" w:rsidRPr="000C40D3">
        <w:rPr>
          <w:sz w:val="28"/>
          <w:szCs w:val="28"/>
        </w:rPr>
        <w:t>.</w:t>
      </w:r>
      <w:r w:rsidRPr="000C40D3">
        <w:rPr>
          <w:sz w:val="28"/>
          <w:szCs w:val="28"/>
        </w:rPr>
        <w:t xml:space="preserve"> Otherwise they might take actions </w:t>
      </w:r>
      <w:r w:rsidR="00005267" w:rsidRPr="000C40D3">
        <w:rPr>
          <w:sz w:val="28"/>
          <w:szCs w:val="28"/>
        </w:rPr>
        <w:t xml:space="preserve">that </w:t>
      </w:r>
      <w:r w:rsidRPr="000C40D3">
        <w:rPr>
          <w:sz w:val="28"/>
          <w:szCs w:val="28"/>
        </w:rPr>
        <w:t>could have to be reversed shortly afterwards.</w:t>
      </w:r>
    </w:p>
    <w:p w:rsidR="00E73C1D" w:rsidRPr="000C40D3" w:rsidRDefault="00E5273A" w:rsidP="00E5273A">
      <w:pPr>
        <w:pStyle w:val="ListParagraph"/>
        <w:ind w:left="0"/>
        <w:jc w:val="both"/>
        <w:rPr>
          <w:sz w:val="28"/>
          <w:szCs w:val="28"/>
        </w:rPr>
      </w:pPr>
      <w:r w:rsidRPr="000C40D3">
        <w:rPr>
          <w:sz w:val="28"/>
          <w:szCs w:val="28"/>
        </w:rPr>
        <w:t xml:space="preserve">Finally, in the international sphere, I </w:t>
      </w:r>
      <w:r w:rsidR="009D0440" w:rsidRPr="000C40D3">
        <w:rPr>
          <w:sz w:val="28"/>
          <w:szCs w:val="28"/>
        </w:rPr>
        <w:t xml:space="preserve">must say that I </w:t>
      </w:r>
      <w:r w:rsidRPr="000C40D3">
        <w:rPr>
          <w:sz w:val="28"/>
          <w:szCs w:val="28"/>
        </w:rPr>
        <w:t xml:space="preserve">am disappointed at the delays to the start of formal discussions with the USA concerning a bilateral agreement on reinsurance. </w:t>
      </w:r>
    </w:p>
    <w:p w:rsidR="009D0440" w:rsidRPr="000C40D3" w:rsidRDefault="009D0440" w:rsidP="00E5273A">
      <w:pPr>
        <w:pStyle w:val="ListParagraph"/>
        <w:ind w:left="0"/>
        <w:jc w:val="both"/>
        <w:rPr>
          <w:sz w:val="28"/>
          <w:szCs w:val="28"/>
        </w:rPr>
      </w:pPr>
    </w:p>
    <w:p w:rsidR="005866B4" w:rsidRPr="000C40D3" w:rsidRDefault="005866B4" w:rsidP="00CA34F0">
      <w:pPr>
        <w:jc w:val="both"/>
        <w:rPr>
          <w:sz w:val="28"/>
          <w:szCs w:val="28"/>
          <w:u w:val="single"/>
        </w:rPr>
      </w:pPr>
      <w:r w:rsidRPr="000C40D3">
        <w:rPr>
          <w:sz w:val="28"/>
          <w:szCs w:val="28"/>
          <w:u w:val="single"/>
        </w:rPr>
        <w:t>Conclusion</w:t>
      </w:r>
    </w:p>
    <w:p w:rsidR="009705FA" w:rsidRPr="000C40D3" w:rsidRDefault="007C0455" w:rsidP="007C0455">
      <w:pPr>
        <w:pStyle w:val="ListParagraph"/>
        <w:ind w:left="0"/>
        <w:jc w:val="both"/>
        <w:rPr>
          <w:sz w:val="28"/>
          <w:szCs w:val="28"/>
        </w:rPr>
      </w:pPr>
      <w:r w:rsidRPr="000C40D3">
        <w:rPr>
          <w:sz w:val="28"/>
          <w:szCs w:val="28"/>
        </w:rPr>
        <w:t>Ladies and gentlemen,</w:t>
      </w:r>
    </w:p>
    <w:p w:rsidR="007C0455" w:rsidRPr="000C40D3" w:rsidRDefault="007C0455" w:rsidP="007C0455">
      <w:pPr>
        <w:pStyle w:val="ListParagraph"/>
        <w:ind w:left="0"/>
        <w:jc w:val="both"/>
        <w:rPr>
          <w:sz w:val="28"/>
          <w:szCs w:val="28"/>
        </w:rPr>
      </w:pPr>
    </w:p>
    <w:p w:rsidR="007C0455" w:rsidRPr="000C40D3" w:rsidRDefault="007C0455" w:rsidP="007C0455">
      <w:pPr>
        <w:pStyle w:val="ListParagraph"/>
        <w:ind w:left="0"/>
        <w:jc w:val="both"/>
        <w:rPr>
          <w:sz w:val="28"/>
          <w:szCs w:val="28"/>
        </w:rPr>
      </w:pPr>
      <w:r w:rsidRPr="000C40D3">
        <w:rPr>
          <w:sz w:val="28"/>
          <w:szCs w:val="28"/>
        </w:rPr>
        <w:t>As you have seen, i</w:t>
      </w:r>
      <w:r w:rsidR="005866B4" w:rsidRPr="000C40D3">
        <w:rPr>
          <w:sz w:val="28"/>
          <w:szCs w:val="28"/>
        </w:rPr>
        <w:t xml:space="preserve">nsurance and pensions </w:t>
      </w:r>
      <w:r w:rsidRPr="000C40D3">
        <w:rPr>
          <w:sz w:val="28"/>
          <w:szCs w:val="28"/>
        </w:rPr>
        <w:t xml:space="preserve">are and </w:t>
      </w:r>
      <w:r w:rsidR="005866B4" w:rsidRPr="000C40D3">
        <w:rPr>
          <w:sz w:val="28"/>
          <w:szCs w:val="28"/>
        </w:rPr>
        <w:t xml:space="preserve">will remain an important and high-profile area, central to the Commission's </w:t>
      </w:r>
      <w:r w:rsidRPr="000C40D3">
        <w:rPr>
          <w:sz w:val="28"/>
          <w:szCs w:val="28"/>
        </w:rPr>
        <w:t xml:space="preserve">growth </w:t>
      </w:r>
      <w:r w:rsidR="005866B4" w:rsidRPr="000C40D3">
        <w:rPr>
          <w:sz w:val="28"/>
          <w:szCs w:val="28"/>
        </w:rPr>
        <w:t>agenda.</w:t>
      </w:r>
      <w:r w:rsidRPr="000C40D3">
        <w:rPr>
          <w:sz w:val="28"/>
          <w:szCs w:val="28"/>
        </w:rPr>
        <w:t xml:space="preserve"> </w:t>
      </w:r>
      <w:r w:rsidR="009705FA" w:rsidRPr="000C40D3">
        <w:rPr>
          <w:sz w:val="28"/>
          <w:szCs w:val="28"/>
        </w:rPr>
        <w:t xml:space="preserve">For this reason, </w:t>
      </w:r>
      <w:r w:rsidR="005866B4" w:rsidRPr="000C40D3">
        <w:rPr>
          <w:sz w:val="28"/>
          <w:szCs w:val="28"/>
        </w:rPr>
        <w:t>EIOPA's importance can only grow.</w:t>
      </w:r>
      <w:r w:rsidR="009705FA" w:rsidRPr="000C40D3">
        <w:rPr>
          <w:sz w:val="28"/>
          <w:szCs w:val="28"/>
        </w:rPr>
        <w:t xml:space="preserve"> </w:t>
      </w:r>
    </w:p>
    <w:p w:rsidR="00D058FE" w:rsidRPr="000C40D3" w:rsidRDefault="00D058FE" w:rsidP="007C0455">
      <w:pPr>
        <w:pStyle w:val="ListParagraph"/>
        <w:ind w:left="0"/>
        <w:jc w:val="both"/>
        <w:rPr>
          <w:sz w:val="28"/>
          <w:szCs w:val="28"/>
        </w:rPr>
      </w:pPr>
    </w:p>
    <w:p w:rsidR="007C0455" w:rsidRPr="000C40D3" w:rsidRDefault="007C0455" w:rsidP="007C0455">
      <w:pPr>
        <w:pStyle w:val="ListParagraph"/>
        <w:ind w:left="0"/>
        <w:jc w:val="both"/>
        <w:rPr>
          <w:sz w:val="28"/>
          <w:szCs w:val="28"/>
        </w:rPr>
      </w:pPr>
      <w:r w:rsidRPr="000C40D3">
        <w:rPr>
          <w:sz w:val="28"/>
          <w:szCs w:val="28"/>
        </w:rPr>
        <w:t>Against that background, the funding of EIOPA and the other two ESAs should be placed on a more secure basis</w:t>
      </w:r>
      <w:r w:rsidR="00A02E71" w:rsidRPr="000C40D3">
        <w:rPr>
          <w:sz w:val="28"/>
          <w:szCs w:val="28"/>
        </w:rPr>
        <w:t>. W</w:t>
      </w:r>
      <w:r w:rsidRPr="000C40D3">
        <w:rPr>
          <w:sz w:val="28"/>
          <w:szCs w:val="28"/>
        </w:rPr>
        <w:t xml:space="preserve">e are also working on that, and will </w:t>
      </w:r>
      <w:r w:rsidR="00A02E71" w:rsidRPr="000C40D3">
        <w:rPr>
          <w:sz w:val="28"/>
          <w:szCs w:val="28"/>
        </w:rPr>
        <w:t>produce</w:t>
      </w:r>
      <w:r w:rsidRPr="000C40D3">
        <w:rPr>
          <w:sz w:val="28"/>
          <w:szCs w:val="28"/>
        </w:rPr>
        <w:t xml:space="preserve"> a White Paper in 2016.</w:t>
      </w:r>
    </w:p>
    <w:p w:rsidR="007C0455" w:rsidRPr="000C40D3" w:rsidRDefault="007C0455" w:rsidP="007C0455">
      <w:pPr>
        <w:jc w:val="both"/>
        <w:rPr>
          <w:sz w:val="28"/>
          <w:szCs w:val="28"/>
        </w:rPr>
      </w:pPr>
      <w:r w:rsidRPr="000C40D3">
        <w:rPr>
          <w:sz w:val="28"/>
          <w:szCs w:val="28"/>
        </w:rPr>
        <w:t xml:space="preserve">There will inevitably be issues and </w:t>
      </w:r>
      <w:r w:rsidR="00D058FE" w:rsidRPr="000C40D3">
        <w:rPr>
          <w:sz w:val="28"/>
          <w:szCs w:val="28"/>
        </w:rPr>
        <w:t xml:space="preserve">minor </w:t>
      </w:r>
      <w:r w:rsidRPr="000C40D3">
        <w:rPr>
          <w:sz w:val="28"/>
          <w:szCs w:val="28"/>
        </w:rPr>
        <w:t xml:space="preserve">hiccups in the first weeks of </w:t>
      </w:r>
      <w:r w:rsidR="00A02E71" w:rsidRPr="000C40D3">
        <w:rPr>
          <w:sz w:val="28"/>
          <w:szCs w:val="28"/>
        </w:rPr>
        <w:t xml:space="preserve">application of </w:t>
      </w:r>
      <w:r w:rsidRPr="000C40D3">
        <w:rPr>
          <w:sz w:val="28"/>
          <w:szCs w:val="28"/>
        </w:rPr>
        <w:t>Solvency II. We count on EIOPA</w:t>
      </w:r>
      <w:r w:rsidR="0024370A" w:rsidRPr="000C40D3">
        <w:rPr>
          <w:sz w:val="28"/>
          <w:szCs w:val="28"/>
        </w:rPr>
        <w:t xml:space="preserve"> to </w:t>
      </w:r>
      <w:r w:rsidR="00A02E71" w:rsidRPr="000C40D3">
        <w:rPr>
          <w:sz w:val="28"/>
          <w:szCs w:val="28"/>
        </w:rPr>
        <w:t>help smooth this process</w:t>
      </w:r>
      <w:r w:rsidRPr="000C40D3">
        <w:rPr>
          <w:sz w:val="28"/>
          <w:szCs w:val="28"/>
        </w:rPr>
        <w:t>. This is the key task of EIOPA, one of its main raisons d'être. I call on all insurers and supervisors to work together in this important transitional period to Solvency II. It is in the interest of all of us to make Solvency II work in reality, not just on paper.</w:t>
      </w:r>
    </w:p>
    <w:p w:rsidR="004E4CD2" w:rsidRPr="000C40D3" w:rsidRDefault="007C0455" w:rsidP="007C0455">
      <w:pPr>
        <w:jc w:val="both"/>
        <w:rPr>
          <w:sz w:val="28"/>
          <w:szCs w:val="28"/>
        </w:rPr>
      </w:pPr>
      <w:r w:rsidRPr="000C40D3">
        <w:rPr>
          <w:sz w:val="28"/>
          <w:szCs w:val="28"/>
        </w:rPr>
        <w:t>I</w:t>
      </w:r>
      <w:r w:rsidR="004E4CD2" w:rsidRPr="000C40D3">
        <w:rPr>
          <w:sz w:val="28"/>
          <w:szCs w:val="28"/>
        </w:rPr>
        <w:t xml:space="preserve"> finish with growth, as I started. I am confident that we can return the European economy to solid growth, if all stakeholders play their part.</w:t>
      </w:r>
    </w:p>
    <w:p w:rsidR="005866B4" w:rsidRDefault="007C0455" w:rsidP="007C0455">
      <w:pPr>
        <w:jc w:val="both"/>
        <w:rPr>
          <w:sz w:val="28"/>
          <w:szCs w:val="28"/>
          <w:lang w:val="fr-BE"/>
        </w:rPr>
      </w:pPr>
      <w:proofErr w:type="spellStart"/>
      <w:r>
        <w:rPr>
          <w:sz w:val="28"/>
          <w:szCs w:val="28"/>
          <w:lang w:val="fr-BE"/>
        </w:rPr>
        <w:t>Thank</w:t>
      </w:r>
      <w:proofErr w:type="spellEnd"/>
      <w:r>
        <w:rPr>
          <w:sz w:val="28"/>
          <w:szCs w:val="28"/>
          <w:lang w:val="fr-BE"/>
        </w:rPr>
        <w:t xml:space="preserve"> </w:t>
      </w:r>
      <w:proofErr w:type="spellStart"/>
      <w:r>
        <w:rPr>
          <w:sz w:val="28"/>
          <w:szCs w:val="28"/>
          <w:lang w:val="fr-BE"/>
        </w:rPr>
        <w:t>you</w:t>
      </w:r>
      <w:proofErr w:type="spellEnd"/>
      <w:r>
        <w:rPr>
          <w:sz w:val="28"/>
          <w:szCs w:val="28"/>
          <w:lang w:val="fr-BE"/>
        </w:rPr>
        <w:t>.</w:t>
      </w:r>
    </w:p>
    <w:p w:rsidR="0024370A" w:rsidRDefault="0024370A" w:rsidP="007C0455">
      <w:pPr>
        <w:jc w:val="both"/>
        <w:rPr>
          <w:sz w:val="28"/>
          <w:szCs w:val="28"/>
          <w:lang w:val="fr-BE"/>
        </w:rPr>
      </w:pPr>
    </w:p>
    <w:p w:rsidR="0024370A" w:rsidRPr="0024370A" w:rsidRDefault="0024370A" w:rsidP="007C0455">
      <w:pPr>
        <w:jc w:val="both"/>
        <w:rPr>
          <w:sz w:val="20"/>
          <w:szCs w:val="20"/>
          <w:lang w:val="fr-BE"/>
        </w:rPr>
      </w:pPr>
      <w:r w:rsidRPr="0024370A">
        <w:rPr>
          <w:sz w:val="20"/>
          <w:szCs w:val="20"/>
          <w:lang w:val="fr-BE"/>
        </w:rPr>
        <w:t xml:space="preserve">1900 </w:t>
      </w:r>
      <w:proofErr w:type="spellStart"/>
      <w:r w:rsidRPr="0024370A">
        <w:rPr>
          <w:sz w:val="20"/>
          <w:szCs w:val="20"/>
          <w:lang w:val="fr-BE"/>
        </w:rPr>
        <w:t>words</w:t>
      </w:r>
      <w:proofErr w:type="spellEnd"/>
    </w:p>
    <w:sectPr w:rsidR="0024370A" w:rsidRPr="00243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0D3"/>
    <w:multiLevelType w:val="hybridMultilevel"/>
    <w:tmpl w:val="9AB8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7146D"/>
    <w:multiLevelType w:val="hybridMultilevel"/>
    <w:tmpl w:val="7EF02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E813CF"/>
    <w:multiLevelType w:val="hybridMultilevel"/>
    <w:tmpl w:val="9E0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68331B"/>
    <w:multiLevelType w:val="hybridMultilevel"/>
    <w:tmpl w:val="97E8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82AED"/>
    <w:multiLevelType w:val="hybridMultilevel"/>
    <w:tmpl w:val="BE66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834874"/>
    <w:multiLevelType w:val="hybridMultilevel"/>
    <w:tmpl w:val="C40C8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69D49D4"/>
    <w:multiLevelType w:val="hybridMultilevel"/>
    <w:tmpl w:val="3B06D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9905AF"/>
    <w:multiLevelType w:val="hybridMultilevel"/>
    <w:tmpl w:val="5D90B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802B77"/>
    <w:multiLevelType w:val="hybridMultilevel"/>
    <w:tmpl w:val="49AA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
  </w:num>
  <w:num w:numId="6">
    <w:abstractNumId w:val="8"/>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14CBE"/>
    <w:rsid w:val="00005267"/>
    <w:rsid w:val="000C40D3"/>
    <w:rsid w:val="000C626D"/>
    <w:rsid w:val="00131773"/>
    <w:rsid w:val="00146271"/>
    <w:rsid w:val="00152E55"/>
    <w:rsid w:val="00171520"/>
    <w:rsid w:val="001A53C2"/>
    <w:rsid w:val="001C5586"/>
    <w:rsid w:val="002259A6"/>
    <w:rsid w:val="0022618C"/>
    <w:rsid w:val="0024370A"/>
    <w:rsid w:val="00257124"/>
    <w:rsid w:val="00324CF7"/>
    <w:rsid w:val="00381EC2"/>
    <w:rsid w:val="003B5DA9"/>
    <w:rsid w:val="00404FB0"/>
    <w:rsid w:val="00412EDD"/>
    <w:rsid w:val="0045577D"/>
    <w:rsid w:val="00476CC2"/>
    <w:rsid w:val="004957E0"/>
    <w:rsid w:val="004E4CD2"/>
    <w:rsid w:val="005866B4"/>
    <w:rsid w:val="005A4035"/>
    <w:rsid w:val="005E411D"/>
    <w:rsid w:val="005F6F28"/>
    <w:rsid w:val="00714CBE"/>
    <w:rsid w:val="00756302"/>
    <w:rsid w:val="007C0455"/>
    <w:rsid w:val="009005B6"/>
    <w:rsid w:val="0094603F"/>
    <w:rsid w:val="009705FA"/>
    <w:rsid w:val="0098290D"/>
    <w:rsid w:val="009D0440"/>
    <w:rsid w:val="009E3EBF"/>
    <w:rsid w:val="00A02E71"/>
    <w:rsid w:val="00A923A8"/>
    <w:rsid w:val="00AD24F0"/>
    <w:rsid w:val="00C26D1E"/>
    <w:rsid w:val="00C47485"/>
    <w:rsid w:val="00CA34F0"/>
    <w:rsid w:val="00D058FE"/>
    <w:rsid w:val="00D22274"/>
    <w:rsid w:val="00E137A8"/>
    <w:rsid w:val="00E17335"/>
    <w:rsid w:val="00E5273A"/>
    <w:rsid w:val="00E53B5D"/>
    <w:rsid w:val="00E73C1D"/>
    <w:rsid w:val="00FB613E"/>
    <w:rsid w:val="00FD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CBE"/>
    <w:pPr>
      <w:ind w:left="720"/>
      <w:contextualSpacing/>
    </w:pPr>
  </w:style>
  <w:style w:type="paragraph" w:styleId="BalloonText">
    <w:name w:val="Balloon Text"/>
    <w:basedOn w:val="Normal"/>
    <w:link w:val="BalloonTextChar"/>
    <w:uiPriority w:val="99"/>
    <w:semiHidden/>
    <w:unhideWhenUsed/>
    <w:rsid w:val="00C47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85"/>
    <w:rPr>
      <w:rFonts w:ascii="Tahoma" w:hAnsi="Tahoma" w:cs="Tahoma"/>
      <w:sz w:val="16"/>
      <w:szCs w:val="16"/>
    </w:rPr>
  </w:style>
  <w:style w:type="character" w:styleId="CommentReference">
    <w:name w:val="annotation reference"/>
    <w:basedOn w:val="DefaultParagraphFont"/>
    <w:uiPriority w:val="99"/>
    <w:semiHidden/>
    <w:unhideWhenUsed/>
    <w:rsid w:val="00C47485"/>
    <w:rPr>
      <w:sz w:val="16"/>
      <w:szCs w:val="16"/>
    </w:rPr>
  </w:style>
  <w:style w:type="paragraph" w:styleId="CommentText">
    <w:name w:val="annotation text"/>
    <w:basedOn w:val="Normal"/>
    <w:link w:val="CommentTextChar"/>
    <w:uiPriority w:val="99"/>
    <w:semiHidden/>
    <w:unhideWhenUsed/>
    <w:rsid w:val="00C47485"/>
    <w:pPr>
      <w:spacing w:line="240" w:lineRule="auto"/>
    </w:pPr>
    <w:rPr>
      <w:sz w:val="20"/>
      <w:szCs w:val="20"/>
    </w:rPr>
  </w:style>
  <w:style w:type="character" w:customStyle="1" w:styleId="CommentTextChar">
    <w:name w:val="Comment Text Char"/>
    <w:basedOn w:val="DefaultParagraphFont"/>
    <w:link w:val="CommentText"/>
    <w:uiPriority w:val="99"/>
    <w:semiHidden/>
    <w:rsid w:val="00C47485"/>
    <w:rPr>
      <w:sz w:val="20"/>
      <w:szCs w:val="20"/>
    </w:rPr>
  </w:style>
  <w:style w:type="paragraph" w:styleId="CommentSubject">
    <w:name w:val="annotation subject"/>
    <w:basedOn w:val="CommentText"/>
    <w:next w:val="CommentText"/>
    <w:link w:val="CommentSubjectChar"/>
    <w:uiPriority w:val="99"/>
    <w:semiHidden/>
    <w:unhideWhenUsed/>
    <w:rsid w:val="00C47485"/>
    <w:rPr>
      <w:b/>
      <w:bCs/>
    </w:rPr>
  </w:style>
  <w:style w:type="character" w:customStyle="1" w:styleId="CommentSubjectChar">
    <w:name w:val="Comment Subject Char"/>
    <w:basedOn w:val="CommentTextChar"/>
    <w:link w:val="CommentSubject"/>
    <w:uiPriority w:val="99"/>
    <w:semiHidden/>
    <w:rsid w:val="00C474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CBE"/>
    <w:pPr>
      <w:ind w:left="720"/>
      <w:contextualSpacing/>
    </w:pPr>
  </w:style>
  <w:style w:type="paragraph" w:styleId="BalloonText">
    <w:name w:val="Balloon Text"/>
    <w:basedOn w:val="Normal"/>
    <w:link w:val="BalloonTextChar"/>
    <w:uiPriority w:val="99"/>
    <w:semiHidden/>
    <w:unhideWhenUsed/>
    <w:rsid w:val="00C47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85"/>
    <w:rPr>
      <w:rFonts w:ascii="Tahoma" w:hAnsi="Tahoma" w:cs="Tahoma"/>
      <w:sz w:val="16"/>
      <w:szCs w:val="16"/>
    </w:rPr>
  </w:style>
  <w:style w:type="character" w:styleId="CommentReference">
    <w:name w:val="annotation reference"/>
    <w:basedOn w:val="DefaultParagraphFont"/>
    <w:uiPriority w:val="99"/>
    <w:semiHidden/>
    <w:unhideWhenUsed/>
    <w:rsid w:val="00C47485"/>
    <w:rPr>
      <w:sz w:val="16"/>
      <w:szCs w:val="16"/>
    </w:rPr>
  </w:style>
  <w:style w:type="paragraph" w:styleId="CommentText">
    <w:name w:val="annotation text"/>
    <w:basedOn w:val="Normal"/>
    <w:link w:val="CommentTextChar"/>
    <w:uiPriority w:val="99"/>
    <w:semiHidden/>
    <w:unhideWhenUsed/>
    <w:rsid w:val="00C47485"/>
    <w:pPr>
      <w:spacing w:line="240" w:lineRule="auto"/>
    </w:pPr>
    <w:rPr>
      <w:sz w:val="20"/>
      <w:szCs w:val="20"/>
    </w:rPr>
  </w:style>
  <w:style w:type="character" w:customStyle="1" w:styleId="CommentTextChar">
    <w:name w:val="Comment Text Char"/>
    <w:basedOn w:val="DefaultParagraphFont"/>
    <w:link w:val="CommentText"/>
    <w:uiPriority w:val="99"/>
    <w:semiHidden/>
    <w:rsid w:val="00C47485"/>
    <w:rPr>
      <w:sz w:val="20"/>
      <w:szCs w:val="20"/>
    </w:rPr>
  </w:style>
  <w:style w:type="paragraph" w:styleId="CommentSubject">
    <w:name w:val="annotation subject"/>
    <w:basedOn w:val="CommentText"/>
    <w:next w:val="CommentText"/>
    <w:link w:val="CommentSubjectChar"/>
    <w:uiPriority w:val="99"/>
    <w:semiHidden/>
    <w:unhideWhenUsed/>
    <w:rsid w:val="00C47485"/>
    <w:rPr>
      <w:b/>
      <w:bCs/>
    </w:rPr>
  </w:style>
  <w:style w:type="character" w:customStyle="1" w:styleId="CommentSubjectChar">
    <w:name w:val="Comment Subject Char"/>
    <w:basedOn w:val="CommentTextChar"/>
    <w:link w:val="CommentSubject"/>
    <w:uiPriority w:val="99"/>
    <w:semiHidden/>
    <w:rsid w:val="00C474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7440-B52B-4BC1-B049-19C2B5A5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FERRIE Daniel (COMM)</cp:lastModifiedBy>
  <cp:revision>2</cp:revision>
  <dcterms:created xsi:type="dcterms:W3CDTF">2015-11-18T10:24:00Z</dcterms:created>
  <dcterms:modified xsi:type="dcterms:W3CDTF">2015-11-18T10:24:00Z</dcterms:modified>
</cp:coreProperties>
</file>